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52" w:type="dxa"/>
        <w:tblLook w:val="04A0" w:firstRow="1" w:lastRow="0" w:firstColumn="1" w:lastColumn="0" w:noHBand="0" w:noVBand="1"/>
      </w:tblPr>
      <w:tblGrid>
        <w:gridCol w:w="1296"/>
        <w:gridCol w:w="222"/>
        <w:gridCol w:w="2532"/>
        <w:gridCol w:w="951"/>
        <w:gridCol w:w="1160"/>
        <w:gridCol w:w="960"/>
        <w:gridCol w:w="1160"/>
      </w:tblGrid>
      <w:tr w:rsidR="004D0079" w:rsidRPr="004D0079" w:rsidTr="00CB11B3">
        <w:trPr>
          <w:trHeight w:val="315"/>
        </w:trPr>
        <w:tc>
          <w:tcPr>
            <w:tcW w:w="4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>WAC 296-17-885     TABLE III.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4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Expected Loss Rates and Primary Ratio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44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by Risk Classification and Fiscal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5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Expected Loss Rates in Dollars per Worker Hour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4D0079">
              <w:rPr>
                <w:rFonts w:ascii="Arial" w:eastAsia="Times New Roman" w:hAnsi="Arial" w:cs="Arial"/>
                <w:color w:val="000000"/>
              </w:rPr>
              <w:t>Effective January 1, 2023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>Primary</w:t>
            </w:r>
          </w:p>
        </w:tc>
      </w:tr>
      <w:tr w:rsidR="004D0079" w:rsidRPr="004D0079" w:rsidTr="00CB11B3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>Class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CB11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2019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CB11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CB11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>Ratio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0.6962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0.8755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0.8212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0.7505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0.7045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1.8780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1.7702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1.5198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0.6123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0.429</w:t>
            </w:r>
          </w:p>
        </w:tc>
      </w:tr>
      <w:tr w:rsidR="004D0079" w:rsidRPr="004D0079" w:rsidTr="00CB11B3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0.5147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1.4181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1.3098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1.2796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1.1855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0.9853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0.6587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0.6190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1.1322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1.0460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0.7426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0.6926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0.5157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0.7180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0.6742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1.3363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1.2407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1.0374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1.2046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1.1223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0.5270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1.1279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1.0514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0.6063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1.2843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1.1981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2.0470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1.9210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1.6578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1.0124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0.9339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0.5847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1.6072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1.5043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1.2807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0.9023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0.8410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0.8150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0.7622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0.5963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0.8380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0.7849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0.6629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1.0530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0.9826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0.8214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1.1401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1.0619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lastRenderedPageBreak/>
              <w:t>518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0.8006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0.7429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1.0676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0.9937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0.4823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0.3471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0.4750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0.7619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0.7138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0.4161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0.5658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0.2973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0.2757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1.0495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0.9693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0.4643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0.8006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0.7429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0.5730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0.4591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0.3153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6.1984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5.7597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4.7437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0.1786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0.2432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0.8724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0.8146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1.1854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1.0979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0.7932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0.7396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0.2993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0.3695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1.4619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1.3625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1.1344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0.4917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0.2939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0.2739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0.0141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0.3659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0.2517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0.5941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0.5736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0.5046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0.6423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1507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0.8383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0.7701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1703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0.6391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1704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1801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0.3559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0.5695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lastRenderedPageBreak/>
              <w:t>2002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0.5572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0.4613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2007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0.5300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2008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0.2541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2009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0.2997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0.4832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0.5361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1.2790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1.1957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0.3193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0.5497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0.4499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0.5566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0.4128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0.3513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0.5090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0.5117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0.4265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0.3635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0.6991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0.6589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0.5761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3102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0.2057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0.2688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0.5826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0.6675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0.6300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0.3048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0.5735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0.1016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0.4011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0.2136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0.2233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0.5848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0.2229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0.1446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0.1446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0.3818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0.5146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3414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0.6431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lastRenderedPageBreak/>
              <w:t>3415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0.9964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0.9324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0.3471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0.2743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0.6054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0.2989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0.6438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0.3016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3513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0.0802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0.3738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0.6175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0.3407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3701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0.2057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3702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0.3015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0.5060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0.1663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3808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0.3153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0.1266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0.4038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0.3971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0.2227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0.1825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0.1716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0.1529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0.1379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0.1693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0.6293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0.7010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0.6625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0.5853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4304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0.7809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0.7399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0.8480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0.7900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4401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0.3048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0.5118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0.3762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0.0492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0.0461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0.0998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0.3634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0.3750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0.4516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lastRenderedPageBreak/>
              <w:t>4805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0.3090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0.1193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0.4068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0.2045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0.3992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0.3535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0.1052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0.2167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4816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0.2960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0.0949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0.0315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0.1422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0.0116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0.3153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0.0899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0.0462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0.0442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0.0792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0.0317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4911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0.0472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0.0441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5.8422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5.4258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4.6022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0.4629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1.7799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1.6533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0.8005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0.7565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0.7327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0.6803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5006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0.9072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0.7280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0.6765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0.7002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0.6585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0.7002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0.6585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0.6725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0.6290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0.3735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0.2402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0.7898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0.7314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5206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0.3158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5207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0.1212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5208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5209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0.4923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5300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0.0770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0.0246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0.0058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lastRenderedPageBreak/>
              <w:t>5305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0.0349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0.0333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0.5632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0.0687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0.0779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0.3124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0.4184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0.1403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0.639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0.2133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0.0938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0.3357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0.2662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6121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0.3777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0.4189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0.6827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0.0851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0.1100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0.1433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0.1650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0.1292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0.7937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0.7464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0.1964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6209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0.2299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0.2179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0.1090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6303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0.0395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6305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0.0852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6306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0.3118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0.0550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0.2129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0.1245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0.1174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0.2526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0.5233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0.1315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0.2335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0.5262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0.5728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0.2509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6411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0.0350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0.0331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0.0859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0.0681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0.2364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0.590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0.1353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0.1284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0.631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lastRenderedPageBreak/>
              <w:t>6506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0.1019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0.1985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0.2332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6512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0.455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6601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0.1671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0.1575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6602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0.5013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6603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0.2437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6604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0.0535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0.0448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6605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0.2478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6607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0.0878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6608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0.3748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6620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2.8489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2.6600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2.1135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6704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0.1057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0.0995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6705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0.6447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6706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0.2064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6707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9.5297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9.0489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7.4637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0.658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6708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7.6928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7.3306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6.4654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6709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0.2253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6801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0.5454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0.3922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6802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0.7268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0.6793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6803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0.4017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6804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0.2168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6809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3.0048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2.8437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2.4114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0.0193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0.817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0.6118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3.1754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2.9366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2.5040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0.9100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0.6772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0.6280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0.2484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0.6695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0.6298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0.3105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6909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0.0878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0.0146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0.0184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0.8369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0.7765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0.6287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0.0140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0.2410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0.3598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0.559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0.2563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0.602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0.0774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0.3693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lastRenderedPageBreak/>
              <w:t>7111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0.2574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0.2384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0.5450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0.3382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0.3177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0.2631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0.533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0.7048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0.6648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0.5672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0.4462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0.3452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0.8490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0.7991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0.6728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1.3691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1.2806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7119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1.4079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1.3146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0.476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4.2400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3.9500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3.2151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7121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5.6360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5.2264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4.4413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7122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0.3025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0.2867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1.8404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1.7007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1.3626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7201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1.4176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1.3157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1.0526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7202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0.0185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7203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0.0812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0.0773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0.575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7204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7205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7301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0.5655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7302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0.6549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0.6196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0.447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7307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0.4114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0.3872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0.3229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7308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0.2174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0.574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7309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0.2041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0.1937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0.1643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0.580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7400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2.1165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1.9559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1.5669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5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Expected Loss Rates in Dollars Per Sq. Ft.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of Wallboard Installed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D0079" w:rsidRPr="004D0079" w:rsidTr="00CB11B3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>Primary</w:t>
            </w:r>
          </w:p>
        </w:tc>
      </w:tr>
      <w:tr w:rsidR="004D0079" w:rsidRPr="004D0079" w:rsidTr="00CB11B3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>Class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CB11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2019 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CB11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2020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CB11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D0079">
              <w:rPr>
                <w:rFonts w:ascii="Arial" w:eastAsia="Times New Roman" w:hAnsi="Arial" w:cs="Arial"/>
                <w:b/>
                <w:bCs/>
                <w:color w:val="000000"/>
              </w:rPr>
              <w:t>Ratio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0.0130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0.0102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0.464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541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0.0065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0.426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0.0258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0.338</w:t>
            </w:r>
          </w:p>
        </w:tc>
      </w:tr>
      <w:tr w:rsidR="004D0079" w:rsidRPr="004D0079" w:rsidTr="00CB11B3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551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0.0072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0079" w:rsidRPr="004D0079" w:rsidRDefault="004D0079" w:rsidP="004D007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D0079">
              <w:rPr>
                <w:rFonts w:ascii="Arial" w:eastAsia="Times New Roman" w:hAnsi="Arial" w:cs="Arial"/>
                <w:color w:val="000000"/>
              </w:rPr>
              <w:t>0.402</w:t>
            </w:r>
          </w:p>
        </w:tc>
      </w:tr>
    </w:tbl>
    <w:p w:rsidR="00E647FE" w:rsidRPr="00A23A6F" w:rsidRDefault="00E647FE" w:rsidP="00A23A6F"/>
    <w:sectPr w:rsidR="00E647FE" w:rsidRPr="00A23A6F" w:rsidSect="00F03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7B" w:rsidRDefault="00B2757B" w:rsidP="00AA0098">
      <w:pPr>
        <w:spacing w:after="0" w:line="240" w:lineRule="auto"/>
      </w:pPr>
      <w:r>
        <w:separator/>
      </w:r>
    </w:p>
  </w:endnote>
  <w:endnote w:type="continuationSeparator" w:id="0">
    <w:p w:rsidR="00B2757B" w:rsidRDefault="00B2757B" w:rsidP="00AA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7B" w:rsidRDefault="00B2757B" w:rsidP="00AA0098">
      <w:pPr>
        <w:spacing w:after="0" w:line="240" w:lineRule="auto"/>
      </w:pPr>
      <w:r>
        <w:separator/>
      </w:r>
    </w:p>
  </w:footnote>
  <w:footnote w:type="continuationSeparator" w:id="0">
    <w:p w:rsidR="00B2757B" w:rsidRDefault="00B2757B" w:rsidP="00AA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E"/>
    <w:rsid w:val="000135CB"/>
    <w:rsid w:val="0007612A"/>
    <w:rsid w:val="0013617C"/>
    <w:rsid w:val="001479FC"/>
    <w:rsid w:val="002920ED"/>
    <w:rsid w:val="002A1650"/>
    <w:rsid w:val="002A5F12"/>
    <w:rsid w:val="00303CCE"/>
    <w:rsid w:val="003147B4"/>
    <w:rsid w:val="0033536A"/>
    <w:rsid w:val="004D0079"/>
    <w:rsid w:val="00506325"/>
    <w:rsid w:val="005813E0"/>
    <w:rsid w:val="0059304E"/>
    <w:rsid w:val="006F3E12"/>
    <w:rsid w:val="006F4009"/>
    <w:rsid w:val="00703F8D"/>
    <w:rsid w:val="00745520"/>
    <w:rsid w:val="0084268A"/>
    <w:rsid w:val="00850492"/>
    <w:rsid w:val="008E37C4"/>
    <w:rsid w:val="00923517"/>
    <w:rsid w:val="009D3E8F"/>
    <w:rsid w:val="009E2106"/>
    <w:rsid w:val="00A23A6F"/>
    <w:rsid w:val="00AA0098"/>
    <w:rsid w:val="00AD5CD9"/>
    <w:rsid w:val="00B06031"/>
    <w:rsid w:val="00B2757B"/>
    <w:rsid w:val="00B97DB9"/>
    <w:rsid w:val="00C13C88"/>
    <w:rsid w:val="00C269FB"/>
    <w:rsid w:val="00C57A51"/>
    <w:rsid w:val="00CB11B3"/>
    <w:rsid w:val="00CF45D2"/>
    <w:rsid w:val="00D10A66"/>
    <w:rsid w:val="00E26D67"/>
    <w:rsid w:val="00E61F5E"/>
    <w:rsid w:val="00E647FE"/>
    <w:rsid w:val="00ED67C4"/>
    <w:rsid w:val="00F0331B"/>
    <w:rsid w:val="00F15896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6ED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7FE"/>
    <w:rPr>
      <w:sz w:val="24"/>
      <w:szCs w:val="24"/>
    </w:rPr>
  </w:style>
  <w:style w:type="character" w:styleId="Hyperlink">
    <w:name w:val="Hyperlink"/>
    <w:uiPriority w:val="99"/>
    <w:semiHidden/>
    <w:unhideWhenUsed/>
    <w:rsid w:val="005813E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13E0"/>
    <w:rPr>
      <w:color w:val="800080"/>
      <w:u w:val="single"/>
    </w:rPr>
  </w:style>
  <w:style w:type="paragraph" w:customStyle="1" w:styleId="xl63">
    <w:name w:val="xl63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67">
    <w:name w:val="xl67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68">
    <w:name w:val="xl68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69">
    <w:name w:val="xl69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msonormal0">
    <w:name w:val="msonormal"/>
    <w:basedOn w:val="Normal"/>
    <w:rsid w:val="0085049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72">
    <w:name w:val="xl72"/>
    <w:basedOn w:val="Normal"/>
    <w:rsid w:val="000761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Normal"/>
    <w:rsid w:val="0007612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A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0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2022-11-28T19:06:00Z</dcterms:created>
  <dcterms:modified xsi:type="dcterms:W3CDTF">2022-11-28T19:06:00Z</dcterms:modified>
</cp:coreProperties>
</file>