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9D" w:rsidRDefault="00BE7D9D" w:rsidP="00BE7D9D">
      <w:pPr>
        <w:pStyle w:val="Style1"/>
        <w:ind w:left="-360"/>
        <w:rPr>
          <w:noProof/>
        </w:rPr>
      </w:pPr>
      <w:bookmarkStart w:id="0" w:name="_Toc17203149"/>
      <w:bookmarkStart w:id="1" w:name="_GoBack"/>
      <w:bookmarkEnd w:id="1"/>
      <w:r>
        <w:t xml:space="preserve">Eligibility Guidelines for </w:t>
      </w:r>
      <w:r w:rsidRPr="00135274">
        <w:t>You</w:t>
      </w:r>
      <w:r>
        <w:t>/</w:t>
      </w:r>
      <w:r w:rsidRPr="00F873AD">
        <w:t>Your</w:t>
      </w:r>
      <w:r>
        <w:t xml:space="preserve"> Organization</w:t>
      </w:r>
      <w:bookmarkEnd w:id="0"/>
    </w:p>
    <w:p w:rsidR="00BE7D9D" w:rsidRPr="00830768" w:rsidRDefault="00BE7D9D" w:rsidP="00BE7D9D">
      <w:pPr>
        <w:rPr>
          <w:rFonts w:ascii="Arial Black" w:hAnsi="Arial Black"/>
          <w:b/>
          <w:i/>
          <w:smallCaps/>
          <w:color w:val="7F0600"/>
          <w:sz w:val="36"/>
          <w:szCs w:val="36"/>
        </w:rPr>
      </w:pP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F44768">
        <w:rPr>
          <w:rFonts w:ascii="Cambria" w:eastAsia="Calibri" w:hAnsi="Cambria" w:cs="Times New Roman"/>
          <w:b/>
          <w:sz w:val="24"/>
        </w:rPr>
        <w:t>Eligible applicants:</w:t>
      </w: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Pr="00F44768" w:rsidRDefault="00BE7D9D" w:rsidP="00BE7D9D">
      <w:pPr>
        <w:numPr>
          <w:ilvl w:val="0"/>
          <w:numId w:val="5"/>
        </w:numPr>
        <w:spacing w:after="24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 xml:space="preserve">An employer covered for workers’ compensation through the Washington State Department of Labor and Industries AND addressing the </w:t>
      </w:r>
      <w:r w:rsidR="00DD7738">
        <w:rPr>
          <w:rFonts w:ascii="Cambria" w:eastAsia="Times New Roman" w:hAnsi="Cambria" w:cs="Times New Roman"/>
          <w:sz w:val="24"/>
          <w:szCs w:val="24"/>
        </w:rPr>
        <w:t>return to work</w:t>
      </w:r>
      <w:r w:rsidRPr="00F44768">
        <w:rPr>
          <w:rFonts w:ascii="Cambria" w:eastAsia="Times New Roman" w:hAnsi="Cambria" w:cs="Times New Roman"/>
          <w:sz w:val="24"/>
          <w:szCs w:val="24"/>
        </w:rPr>
        <w:t xml:space="preserve"> needs of their OWN workers.</w:t>
      </w:r>
    </w:p>
    <w:p w:rsidR="00BE7D9D" w:rsidRPr="00F44768" w:rsidRDefault="00BE7D9D" w:rsidP="00BE7D9D">
      <w:pPr>
        <w:spacing w:after="24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BE7D9D" w:rsidRPr="00F44768" w:rsidRDefault="00BE7D9D" w:rsidP="00BE7D9D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A representative organization such as a:</w:t>
      </w:r>
    </w:p>
    <w:p w:rsidR="00BE7D9D" w:rsidRPr="00F44768" w:rsidRDefault="00BE7D9D" w:rsidP="00BE7D9D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BE7D9D" w:rsidRPr="00F44768" w:rsidRDefault="00BE7D9D" w:rsidP="00BE7D9D">
      <w:pPr>
        <w:numPr>
          <w:ilvl w:val="1"/>
          <w:numId w:val="5"/>
        </w:numPr>
        <w:spacing w:after="0" w:line="240" w:lineRule="auto"/>
        <w:ind w:left="531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 xml:space="preserve">trade association, </w:t>
      </w:r>
    </w:p>
    <w:p w:rsidR="00BE7D9D" w:rsidRPr="00F44768" w:rsidRDefault="00BE7D9D" w:rsidP="00BE7D9D">
      <w:pPr>
        <w:numPr>
          <w:ilvl w:val="1"/>
          <w:numId w:val="5"/>
        </w:numPr>
        <w:spacing w:after="0" w:line="240" w:lineRule="auto"/>
        <w:ind w:left="531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 xml:space="preserve">business association, </w:t>
      </w:r>
    </w:p>
    <w:p w:rsidR="00BE7D9D" w:rsidRPr="00F44768" w:rsidRDefault="00BE7D9D" w:rsidP="00BE7D9D">
      <w:pPr>
        <w:numPr>
          <w:ilvl w:val="1"/>
          <w:numId w:val="5"/>
        </w:numPr>
        <w:spacing w:after="0" w:line="240" w:lineRule="auto"/>
        <w:ind w:left="531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 xml:space="preserve">industry association, </w:t>
      </w:r>
    </w:p>
    <w:p w:rsidR="00BE7D9D" w:rsidRPr="00F44768" w:rsidRDefault="00BE7D9D" w:rsidP="00BE7D9D">
      <w:pPr>
        <w:numPr>
          <w:ilvl w:val="1"/>
          <w:numId w:val="5"/>
        </w:numPr>
        <w:spacing w:after="0" w:line="240" w:lineRule="auto"/>
        <w:ind w:left="531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 xml:space="preserve">employees association, </w:t>
      </w:r>
    </w:p>
    <w:p w:rsidR="00BE7D9D" w:rsidRPr="00F44768" w:rsidRDefault="00BE7D9D" w:rsidP="00BE7D9D">
      <w:pPr>
        <w:numPr>
          <w:ilvl w:val="1"/>
          <w:numId w:val="5"/>
        </w:numPr>
        <w:spacing w:after="0" w:line="240" w:lineRule="auto"/>
        <w:ind w:left="531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 xml:space="preserve">labor union, and/or </w:t>
      </w:r>
    </w:p>
    <w:p w:rsidR="00BE7D9D" w:rsidRPr="00F44768" w:rsidRDefault="00BE7D9D" w:rsidP="00BE7D9D">
      <w:pPr>
        <w:numPr>
          <w:ilvl w:val="1"/>
          <w:numId w:val="5"/>
        </w:numPr>
        <w:spacing w:after="0" w:line="240" w:lineRule="auto"/>
        <w:ind w:left="5310"/>
        <w:contextualSpacing/>
        <w:rPr>
          <w:rFonts w:ascii="Cambria" w:eastAsia="Times New Roman" w:hAnsi="Cambria" w:cs="Times New Roman"/>
          <w:sz w:val="24"/>
          <w:szCs w:val="24"/>
        </w:rPr>
      </w:pPr>
      <w:proofErr w:type="gramStart"/>
      <w:r w:rsidRPr="00F44768">
        <w:rPr>
          <w:rFonts w:ascii="Cambria" w:eastAsia="Times New Roman" w:hAnsi="Cambria" w:cs="Times New Roman"/>
          <w:sz w:val="24"/>
          <w:szCs w:val="24"/>
        </w:rPr>
        <w:lastRenderedPageBreak/>
        <w:t>joint</w:t>
      </w:r>
      <w:proofErr w:type="gramEnd"/>
      <w:r w:rsidRPr="00F44768">
        <w:rPr>
          <w:rFonts w:ascii="Cambria" w:eastAsia="Times New Roman" w:hAnsi="Cambria" w:cs="Times New Roman"/>
          <w:sz w:val="24"/>
          <w:szCs w:val="24"/>
        </w:rPr>
        <w:t xml:space="preserve"> labor management group.</w:t>
      </w:r>
    </w:p>
    <w:p w:rsidR="00BE7D9D" w:rsidRPr="00F44768" w:rsidRDefault="00BE7D9D" w:rsidP="00BE7D9D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BE7D9D" w:rsidRPr="00F44768" w:rsidRDefault="00BE7D9D" w:rsidP="00BE7D9D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 xml:space="preserve">The above organization will be addressing </w:t>
      </w:r>
      <w:r w:rsidR="00DD7738">
        <w:rPr>
          <w:rFonts w:ascii="Cambria" w:eastAsia="Times New Roman" w:hAnsi="Cambria" w:cs="Times New Roman"/>
          <w:sz w:val="24"/>
          <w:szCs w:val="24"/>
        </w:rPr>
        <w:t>the return to work ne</w:t>
      </w:r>
      <w:r w:rsidRPr="00F44768">
        <w:rPr>
          <w:rFonts w:ascii="Cambria" w:eastAsia="Times New Roman" w:hAnsi="Cambria" w:cs="Times New Roman"/>
          <w:sz w:val="24"/>
          <w:szCs w:val="24"/>
        </w:rPr>
        <w:t>eds of the employees for the workers/businesses that work in that represented area AND that are primarily covered for workers’ compensation through the compensation through the Washington State Department of Labor and Industries.</w:t>
      </w:r>
    </w:p>
    <w:p w:rsidR="00BE7D9D" w:rsidRPr="00F44768" w:rsidRDefault="00BE7D9D" w:rsidP="00BE7D9D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BE7D9D" w:rsidRPr="00F44768" w:rsidRDefault="00BE7D9D" w:rsidP="00BE7D9D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An Educational institution who is working in partnership/collaboration with an organization who meets the criteria in #1 or #2</w:t>
      </w: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Pr="00F44768" w:rsidRDefault="00BE7D9D" w:rsidP="00BE7D9D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A third party organization (such as a consulting or training organization) who is partnering with an organization that meets the criteria in #1 or #2</w:t>
      </w:r>
    </w:p>
    <w:p w:rsidR="00BE7D9D" w:rsidRPr="00F44768" w:rsidRDefault="00BE7D9D" w:rsidP="00BE7D9D">
      <w:pPr>
        <w:spacing w:after="0" w:line="240" w:lineRule="auto"/>
        <w:ind w:left="720"/>
        <w:contextualSpacing/>
        <w:rPr>
          <w:rFonts w:ascii="Cambria" w:eastAsia="Times New Roman" w:hAnsi="Cambria" w:cs="Times New Roman"/>
          <w:sz w:val="24"/>
          <w:szCs w:val="24"/>
        </w:rPr>
      </w:pPr>
    </w:p>
    <w:p w:rsidR="00BE7D9D" w:rsidRPr="00F44768" w:rsidRDefault="00BE7D9D" w:rsidP="00BE7D9D">
      <w:pPr>
        <w:numPr>
          <w:ilvl w:val="0"/>
          <w:numId w:val="5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A self-insured business that is working in partnership with an organization that meets the criteria in #1.</w:t>
      </w: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  <w:r w:rsidRPr="00F44768">
        <w:rPr>
          <w:rFonts w:ascii="Cambria" w:eastAsia="Calibri" w:hAnsi="Cambria" w:cs="Times New Roman"/>
          <w:sz w:val="24"/>
        </w:rPr>
        <w:t>If your organization doesn’t fit into one of the above five categories; please contact the SHIP program to discuss eligibility.</w:t>
      </w: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Pr="00F44768" w:rsidRDefault="00BE7D9D" w:rsidP="00BE7D9D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BE7D9D" w:rsidRPr="00F44768" w:rsidRDefault="00BE7D9D" w:rsidP="00BE7D9D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BE7D9D" w:rsidRPr="00F44768" w:rsidRDefault="00BE7D9D" w:rsidP="00BE7D9D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after="0" w:line="240" w:lineRule="auto"/>
        <w:rPr>
          <w:rFonts w:ascii="Cambria" w:eastAsia="Calibri" w:hAnsi="Cambria" w:cs="Times New Roman"/>
        </w:rPr>
      </w:pPr>
      <w:r w:rsidRPr="00F44768">
        <w:rPr>
          <w:rFonts w:ascii="Cambria" w:eastAsia="Calibri" w:hAnsi="Cambria" w:cs="Times New Roman"/>
          <w:b/>
          <w:smallCaps/>
        </w:rPr>
        <w:t>Note</w:t>
      </w:r>
      <w:r w:rsidRPr="00F44768">
        <w:rPr>
          <w:rFonts w:ascii="Cambria" w:eastAsia="Calibri" w:hAnsi="Cambria" w:cs="Times New Roman"/>
        </w:rPr>
        <w:t xml:space="preserve">: All products produced, whether by the grantee or a subcontractor to the grantee, as a result of a SHIP grant are in the public </w:t>
      </w:r>
      <w:r w:rsidRPr="00F44768">
        <w:rPr>
          <w:rFonts w:ascii="Cambria" w:eastAsia="Calibri" w:hAnsi="Cambria" w:cs="Times New Roman"/>
        </w:rPr>
        <w:lastRenderedPageBreak/>
        <w:t>domain and cannot be copyrighted, patented, claimed as trade secrets, or otherwise restricted in anyway.</w:t>
      </w:r>
    </w:p>
    <w:p w:rsidR="00BE7D9D" w:rsidRPr="00F44768" w:rsidRDefault="00BE7D9D" w:rsidP="00BE7D9D">
      <w:pPr>
        <w:spacing w:after="0" w:line="240" w:lineRule="auto"/>
        <w:jc w:val="center"/>
        <w:rPr>
          <w:rFonts w:ascii="Cambria" w:eastAsia="Calibri" w:hAnsi="Cambria" w:cs="Times New Roman"/>
        </w:rPr>
      </w:pPr>
    </w:p>
    <w:p w:rsidR="00BE7D9D" w:rsidRPr="00492080" w:rsidRDefault="00BE7D9D" w:rsidP="00BE7D9D">
      <w:pPr>
        <w:tabs>
          <w:tab w:val="left" w:pos="1481"/>
        </w:tabs>
        <w:rPr>
          <w:rFonts w:ascii="Arial Black" w:hAnsi="Arial Black"/>
          <w:sz w:val="52"/>
        </w:rPr>
        <w:sectPr w:rsidR="00BE7D9D" w:rsidRPr="00492080" w:rsidSect="004A704C">
          <w:headerReference w:type="first" r:id="rId7"/>
          <w:pgSz w:w="12240" w:h="15840"/>
          <w:pgMar w:top="720" w:right="540" w:bottom="720" w:left="720" w:header="720" w:footer="720" w:gutter="0"/>
          <w:cols w:space="720"/>
          <w:titlePg/>
          <w:docGrid w:linePitch="360"/>
        </w:sectPr>
      </w:pPr>
      <w:r>
        <w:rPr>
          <w:rFonts w:ascii="Arial Black" w:hAnsi="Arial Black"/>
          <w:sz w:val="52"/>
        </w:rPr>
        <w:tab/>
      </w:r>
    </w:p>
    <w:p w:rsidR="00BE7D9D" w:rsidRPr="00BE7D9D" w:rsidRDefault="00BE7D9D" w:rsidP="00BE7D9D">
      <w:pPr>
        <w:pStyle w:val="NormalWeb"/>
        <w:spacing w:before="0" w:beforeAutospacing="0" w:after="0" w:afterAutospacing="0"/>
      </w:pPr>
      <w:r>
        <w:rPr>
          <w:rFonts w:ascii="Arial" w:eastAsia="Calibri" w:hAnsi="Arial"/>
          <w:color w:val="000000" w:themeColor="text1"/>
          <w:kern w:val="24"/>
          <w:sz w:val="32"/>
          <w:szCs w:val="32"/>
        </w:rPr>
        <w:lastRenderedPageBreak/>
        <w:t xml:space="preserve">When determining the </w:t>
      </w:r>
      <w:r>
        <w:rPr>
          <w:rFonts w:ascii="Arial" w:eastAsia="Calibri" w:hAnsi="Arial"/>
          <w:b/>
          <w:bCs/>
          <w:color w:val="000000" w:themeColor="text1"/>
          <w:kern w:val="24"/>
          <w:sz w:val="32"/>
          <w:szCs w:val="32"/>
        </w:rPr>
        <w:t>type of organization</w:t>
      </w:r>
      <w:r>
        <w:rPr>
          <w:rFonts w:ascii="Arial" w:eastAsia="Calibri" w:hAnsi="Arial"/>
          <w:color w:val="000000" w:themeColor="text1"/>
          <w:kern w:val="24"/>
          <w:sz w:val="32"/>
          <w:szCs w:val="32"/>
        </w:rPr>
        <w:t xml:space="preserve"> consider the following:</w:t>
      </w:r>
    </w:p>
    <w:tbl>
      <w:tblPr>
        <w:tblpPr w:leftFromText="180" w:rightFromText="180" w:vertAnchor="page" w:horzAnchor="margin" w:tblpXSpec="center" w:tblpY="2422"/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1"/>
        <w:gridCol w:w="7189"/>
      </w:tblGrid>
      <w:tr w:rsidR="00BE7D9D" w:rsidRPr="00492080" w:rsidTr="00BF750B">
        <w:trPr>
          <w:trHeight w:val="382"/>
        </w:trPr>
        <w:tc>
          <w:tcPr>
            <w:tcW w:w="2621" w:type="dxa"/>
            <w:tcBorders>
              <w:top w:val="single" w:sz="8" w:space="0" w:color="99CB38"/>
              <w:left w:val="nil"/>
              <w:bottom w:val="single" w:sz="8" w:space="0" w:color="99CB38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Arial" w:eastAsia="Times New Roman" w:hAnsi="Arial" w:cs="Arial"/>
                <w:b/>
                <w:bCs/>
                <w:smallCaps/>
                <w:color w:val="000000" w:themeColor="text1"/>
                <w:kern w:val="24"/>
              </w:rPr>
              <w:t>Type of Organization</w:t>
            </w:r>
          </w:p>
        </w:tc>
        <w:tc>
          <w:tcPr>
            <w:tcW w:w="7189" w:type="dxa"/>
            <w:tcBorders>
              <w:top w:val="single" w:sz="8" w:space="0" w:color="99CB38"/>
              <w:left w:val="nil"/>
              <w:bottom w:val="single" w:sz="8" w:space="0" w:color="99CB38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Arial" w:eastAsia="Times New Roman" w:hAnsi="Arial" w:cs="Arial"/>
                <w:b/>
                <w:bCs/>
                <w:smallCaps/>
                <w:color w:val="000000" w:themeColor="text1"/>
                <w:kern w:val="24"/>
              </w:rPr>
              <w:t>Description</w:t>
            </w:r>
          </w:p>
        </w:tc>
      </w:tr>
      <w:tr w:rsidR="00BE7D9D" w:rsidRPr="00492080" w:rsidTr="00BF750B">
        <w:trPr>
          <w:trHeight w:val="312"/>
        </w:trPr>
        <w:tc>
          <w:tcPr>
            <w:tcW w:w="2621" w:type="dxa"/>
            <w:tcBorders>
              <w:top w:val="single" w:sz="8" w:space="0" w:color="99CB38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Trade Association</w:t>
            </w:r>
          </w:p>
        </w:tc>
        <w:tc>
          <w:tcPr>
            <w:tcW w:w="7189" w:type="dxa"/>
            <w:tcBorders>
              <w:top w:val="single" w:sz="8" w:space="0" w:color="99CB38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Organizations that represent businesses/employers in a specific industry</w:t>
            </w:r>
          </w:p>
        </w:tc>
      </w:tr>
      <w:tr w:rsidR="00BE7D9D" w:rsidRPr="00492080" w:rsidTr="00BF750B">
        <w:trPr>
          <w:trHeight w:val="61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Business Association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Organizations that represent businesses/employers more broadly and may include businesses/employers across multiple industries</w:t>
            </w:r>
          </w:p>
        </w:tc>
      </w:tr>
      <w:tr w:rsidR="00BE7D9D" w:rsidRPr="00492080" w:rsidTr="00BF750B">
        <w:trPr>
          <w:trHeight w:val="604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Employer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For the purpose of SHIP grants, Employers are those entities that are seeking funding for projects that would benefit their own workplace and employees</w:t>
            </w:r>
          </w:p>
        </w:tc>
      </w:tr>
      <w:tr w:rsidR="00BE7D9D" w:rsidRPr="00492080" w:rsidTr="00BF750B">
        <w:trPr>
          <w:trHeight w:val="423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Labor Union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Organizations that represent employees – these tend to be industry specific</w:t>
            </w:r>
          </w:p>
        </w:tc>
      </w:tr>
      <w:tr w:rsidR="00BE7D9D" w:rsidRPr="00492080" w:rsidTr="00BF750B">
        <w:trPr>
          <w:trHeight w:val="113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Employee Organizations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Less formalized organizations that represent a group of employees</w:t>
            </w:r>
          </w:p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*employee organizations, associations, cooperatives, and similar groups whose primary purpose is to serve the welfare of employees or to provide services to employees*</w:t>
            </w:r>
          </w:p>
        </w:tc>
      </w:tr>
      <w:tr w:rsidR="00BE7D9D" w:rsidRPr="00492080" w:rsidTr="00BF750B">
        <w:trPr>
          <w:trHeight w:val="447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Group of Employees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One or more employees from the same employer</w:t>
            </w:r>
          </w:p>
        </w:tc>
      </w:tr>
      <w:tr w:rsidR="00BE7D9D" w:rsidRPr="00492080" w:rsidTr="00BF750B">
        <w:trPr>
          <w:trHeight w:val="765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Joint Business/ Labor Group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A collaborative group that is both made up of business and labor groups and/or their representatives addressing needs in specific industries</w:t>
            </w:r>
          </w:p>
        </w:tc>
      </w:tr>
      <w:tr w:rsidR="00BE7D9D" w:rsidRPr="00492080" w:rsidTr="00BF750B">
        <w:trPr>
          <w:trHeight w:val="78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*Other: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 xml:space="preserve">Any entity or group that is not seeking to address the needs in their own workplace, industry, trade, </w:t>
            </w:r>
            <w:proofErr w:type="spellStart"/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etc</w:t>
            </w:r>
            <w:proofErr w:type="spellEnd"/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; or those not seeking to address the needs of their own employees, business or of those they represent.</w:t>
            </w:r>
          </w:p>
        </w:tc>
      </w:tr>
      <w:tr w:rsidR="00BE7D9D" w:rsidRPr="00492080" w:rsidTr="00BF750B">
        <w:trPr>
          <w:trHeight w:val="1546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numPr>
                <w:ilvl w:val="0"/>
                <w:numId w:val="1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Third Party Organizations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Organizations who provide the activities outlined in the proposal as a part of the work they conduct on an ongoing basis (not directed at their own employees):</w:t>
            </w:r>
          </w:p>
          <w:p w:rsidR="00BE7D9D" w:rsidRPr="00492080" w:rsidRDefault="00BE7D9D" w:rsidP="00BF750B">
            <w:pPr>
              <w:tabs>
                <w:tab w:val="left" w:pos="90"/>
              </w:tabs>
              <w:spacing w:before="120" w:after="0" w:line="240" w:lineRule="auto"/>
              <w:ind w:left="274" w:hanging="187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- safety consultation firm</w:t>
            </w:r>
          </w:p>
          <w:p w:rsidR="00BE7D9D" w:rsidRPr="00492080" w:rsidRDefault="00BE7D9D" w:rsidP="00BF750B">
            <w:pPr>
              <w:spacing w:before="60" w:after="0" w:line="240" w:lineRule="auto"/>
              <w:ind w:left="274" w:hanging="187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- vocational counseling firm</w:t>
            </w:r>
          </w:p>
        </w:tc>
      </w:tr>
      <w:tr w:rsidR="00BE7D9D" w:rsidRPr="00492080" w:rsidTr="00BF750B">
        <w:trPr>
          <w:trHeight w:val="524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numPr>
                <w:ilvl w:val="0"/>
                <w:numId w:val="2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Educational Institution</w:t>
            </w: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University, college, etc.</w:t>
            </w:r>
          </w:p>
        </w:tc>
      </w:tr>
      <w:tr w:rsidR="00BE7D9D" w:rsidRPr="00492080" w:rsidTr="00BF750B">
        <w:trPr>
          <w:trHeight w:val="786"/>
        </w:trPr>
        <w:tc>
          <w:tcPr>
            <w:tcW w:w="2621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numPr>
                <w:ilvl w:val="0"/>
                <w:numId w:val="3"/>
              </w:numPr>
              <w:spacing w:after="0" w:line="240" w:lineRule="auto"/>
              <w:ind w:left="1166"/>
              <w:contextualSpacing/>
              <w:rPr>
                <w:rFonts w:ascii="Arial" w:eastAsia="Times New Roman" w:hAnsi="Arial" w:cs="Arial"/>
                <w:szCs w:val="36"/>
              </w:rPr>
            </w:pPr>
            <w:r w:rsidRPr="00492080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</w:rPr>
              <w:t>Self-insured Employers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8" w:space="0" w:color="99CB38"/>
              <w:right w:val="nil"/>
            </w:tcBorders>
            <w:shd w:val="clear" w:color="auto" w:fill="EFF6E8"/>
            <w:tcMar>
              <w:top w:w="15" w:type="dxa"/>
              <w:left w:w="96" w:type="dxa"/>
              <w:bottom w:w="0" w:type="dxa"/>
              <w:right w:w="96" w:type="dxa"/>
            </w:tcMar>
            <w:vAlign w:val="center"/>
            <w:hideMark/>
          </w:tcPr>
          <w:p w:rsidR="00BE7D9D" w:rsidRPr="00492080" w:rsidRDefault="00BE7D9D" w:rsidP="00BF750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492080">
              <w:rPr>
                <w:rFonts w:ascii="Calibri" w:eastAsia="Times New Roman" w:hAnsi="Calibri" w:cs="Calibri"/>
                <w:color w:val="000000" w:themeColor="text1"/>
                <w:kern w:val="24"/>
              </w:rPr>
              <w:t>Employers who are not covered under the state funded workers compensation system</w:t>
            </w:r>
          </w:p>
        </w:tc>
      </w:tr>
    </w:tbl>
    <w:p w:rsidR="00BE7D9D" w:rsidRDefault="00BE7D9D" w:rsidP="00BE7D9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</w:p>
    <w:p w:rsidR="00BE7D9D" w:rsidRPr="00BE7D9D" w:rsidRDefault="00BE7D9D" w:rsidP="00BE7D9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*Other – If your organization fall under “other” then you will need a partner.  Check with SHIP to see if you qualify.</w:t>
      </w:r>
    </w:p>
    <w:p w:rsidR="00BE7D9D" w:rsidRDefault="00BE7D9D" w:rsidP="00BE7D9D">
      <w:pPr>
        <w:pStyle w:val="NormalWeb"/>
        <w:spacing w:before="140" w:beforeAutospacing="0" w:after="0" w:afterAutospacing="0"/>
        <w:ind w:left="274"/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Generally all organizations that fall under the “</w:t>
      </w:r>
      <w:r>
        <w:rPr>
          <w:rFonts w:ascii="Arial" w:hAnsi="Arial" w:cs="Arial"/>
          <w:b/>
          <w:bCs/>
          <w:color w:val="000000" w:themeColor="text1"/>
          <w:kern w:val="24"/>
          <w:sz w:val="22"/>
          <w:szCs w:val="22"/>
        </w:rPr>
        <w:t>other</w:t>
      </w:r>
      <w:r>
        <w:rPr>
          <w:rFonts w:ascii="Arial" w:hAnsi="Arial" w:cs="Arial"/>
          <w:color w:val="000000" w:themeColor="text1"/>
          <w:kern w:val="24"/>
          <w:sz w:val="22"/>
          <w:szCs w:val="22"/>
        </w:rPr>
        <w:t>” category would need a partner to be eligible.</w:t>
      </w:r>
    </w:p>
    <w:p w:rsidR="00BE7D9D" w:rsidRDefault="00BE7D9D" w:rsidP="00BE7D9D">
      <w:pPr>
        <w:pStyle w:val="NormalWeb"/>
        <w:spacing w:before="0" w:beforeAutospacing="0" w:after="0" w:afterAutospacing="0"/>
        <w:ind w:left="274"/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 </w:t>
      </w:r>
    </w:p>
    <w:p w:rsidR="00BE7D9D" w:rsidRDefault="00BE7D9D" w:rsidP="00BE7D9D">
      <w:pPr>
        <w:pStyle w:val="NormalWeb"/>
        <w:spacing w:before="0" w:beforeAutospacing="0" w:after="0" w:afterAutospacing="0"/>
        <w:ind w:left="274"/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Others that may benefit from a partnership would be:</w:t>
      </w:r>
    </w:p>
    <w:p w:rsidR="00BE7D9D" w:rsidRDefault="00BE7D9D" w:rsidP="00BE7D9D">
      <w:pPr>
        <w:pStyle w:val="ListParagraph"/>
        <w:numPr>
          <w:ilvl w:val="0"/>
          <w:numId w:val="4"/>
        </w:numPr>
        <w:rPr>
          <w:sz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Employee Organizations</w:t>
      </w:r>
    </w:p>
    <w:p w:rsidR="00BE7D9D" w:rsidRDefault="00BE7D9D" w:rsidP="00BE7D9D">
      <w:pPr>
        <w:pStyle w:val="ListParagraph"/>
        <w:numPr>
          <w:ilvl w:val="0"/>
          <w:numId w:val="4"/>
        </w:numPr>
        <w:rPr>
          <w:sz w:val="22"/>
        </w:rPr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Groups of Employees (would likely need buy off from your employer)</w:t>
      </w:r>
    </w:p>
    <w:p w:rsidR="00BE7D9D" w:rsidRDefault="00BE7D9D" w:rsidP="00BE7D9D">
      <w:pPr>
        <w:pStyle w:val="NormalWeb"/>
        <w:spacing w:before="0" w:beforeAutospacing="0" w:after="0" w:afterAutospacing="0"/>
        <w:ind w:left="274"/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 </w:t>
      </w:r>
    </w:p>
    <w:p w:rsidR="00BE7D9D" w:rsidRDefault="00BE7D9D" w:rsidP="00BE7D9D">
      <w:pPr>
        <w:pStyle w:val="NormalWeb"/>
        <w:spacing w:before="0" w:beforeAutospacing="0" w:after="0" w:afterAutospacing="0"/>
        <w:ind w:left="274"/>
      </w:pPr>
      <w:r>
        <w:rPr>
          <w:rFonts w:ascii="Arial" w:hAnsi="Arial" w:cs="Arial"/>
          <w:color w:val="000000" w:themeColor="text1"/>
          <w:kern w:val="24"/>
          <w:sz w:val="22"/>
          <w:szCs w:val="22"/>
        </w:rPr>
        <w:t>Ideally, all products developed should be able to transfer or be usable by other entities doing similar types of work.</w:t>
      </w:r>
    </w:p>
    <w:p w:rsidR="00BE7D9D" w:rsidRPr="00F873AD" w:rsidRDefault="00BE7D9D" w:rsidP="00BE7D9D">
      <w:pPr>
        <w:pStyle w:val="Style1"/>
        <w:ind w:left="-360"/>
      </w:pPr>
      <w:bookmarkStart w:id="2" w:name="_Toc17203150"/>
      <w:r w:rsidRPr="00F873AD">
        <w:lastRenderedPageBreak/>
        <w:t xml:space="preserve">Eligibility </w:t>
      </w:r>
      <w:r>
        <w:t>Guidelines</w:t>
      </w:r>
      <w:r w:rsidRPr="00F873AD">
        <w:t xml:space="preserve"> for Your Project/Product</w:t>
      </w:r>
      <w:bookmarkEnd w:id="2"/>
    </w:p>
    <w:p w:rsidR="00BE7D9D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Pr="00FD6F0A" w:rsidRDefault="00BE7D9D" w:rsidP="00FD6F0A">
      <w:pPr>
        <w:pStyle w:val="ListParagraph"/>
        <w:numPr>
          <w:ilvl w:val="0"/>
          <w:numId w:val="10"/>
        </w:numPr>
        <w:rPr>
          <w:rFonts w:ascii="Cambria" w:eastAsia="Calibri" w:hAnsi="Cambria"/>
          <w:b/>
        </w:rPr>
      </w:pPr>
      <w:r w:rsidRPr="00FD6F0A">
        <w:rPr>
          <w:rFonts w:ascii="Cambria" w:eastAsia="Calibri" w:hAnsi="Cambria"/>
          <w:b/>
        </w:rPr>
        <w:t xml:space="preserve">Is your project designed to </w:t>
      </w:r>
      <w:r w:rsidR="00CE3382" w:rsidRPr="00FD6F0A">
        <w:rPr>
          <w:rFonts w:ascii="Cambria" w:eastAsia="Calibri" w:hAnsi="Cambria"/>
          <w:b/>
        </w:rPr>
        <w:t xml:space="preserve">develop and implement innovative and effective </w:t>
      </w:r>
      <w:r w:rsidR="00DD7738" w:rsidRPr="00FD6F0A">
        <w:rPr>
          <w:rFonts w:ascii="Cambria" w:eastAsia="Calibri" w:hAnsi="Cambria"/>
          <w:b/>
        </w:rPr>
        <w:t xml:space="preserve">return to work </w:t>
      </w:r>
      <w:r w:rsidR="00CE3382" w:rsidRPr="00FD6F0A">
        <w:rPr>
          <w:rFonts w:ascii="Cambria" w:eastAsia="Calibri" w:hAnsi="Cambria"/>
          <w:b/>
        </w:rPr>
        <w:t xml:space="preserve">programs or strategies </w:t>
      </w:r>
      <w:r w:rsidRPr="00FD6F0A">
        <w:rPr>
          <w:rFonts w:ascii="Cambria" w:eastAsia="Calibri" w:hAnsi="Cambria"/>
          <w:b/>
        </w:rPr>
        <w:t>in your and similar workplaces?</w:t>
      </w:r>
    </w:p>
    <w:p w:rsidR="00CB7071" w:rsidRDefault="00CB7071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:rsidR="00CB7071" w:rsidRDefault="00CB7071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>
        <w:rPr>
          <w:rFonts w:ascii="Cambria" w:eastAsia="Calibri" w:hAnsi="Cambria" w:cs="Times New Roman"/>
          <w:b/>
          <w:sz w:val="24"/>
        </w:rPr>
        <w:t xml:space="preserve">OR </w:t>
      </w:r>
    </w:p>
    <w:p w:rsidR="00CB7071" w:rsidRDefault="00CB7071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:rsidR="00CB7071" w:rsidRDefault="00CB7071" w:rsidP="00FD6F0A">
      <w:pPr>
        <w:spacing w:after="0" w:line="240" w:lineRule="auto"/>
        <w:ind w:left="720"/>
        <w:rPr>
          <w:rFonts w:ascii="Cambria" w:eastAsia="Calibri" w:hAnsi="Cambria" w:cs="Times New Roman"/>
          <w:b/>
          <w:sz w:val="24"/>
        </w:rPr>
      </w:pPr>
      <w:r>
        <w:rPr>
          <w:rFonts w:ascii="Cambria" w:eastAsia="Calibri" w:hAnsi="Cambria" w:cs="Times New Roman"/>
          <w:b/>
          <w:sz w:val="24"/>
        </w:rPr>
        <w:t>Does your project seek to reduce long-term disability for injured workers through the development of tools or resources or programs?</w:t>
      </w:r>
    </w:p>
    <w:p w:rsidR="00CB7071" w:rsidRDefault="00CB7071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:rsidR="00CB7071" w:rsidRDefault="00FD6F0A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>
        <w:rPr>
          <w:rFonts w:ascii="Cambria" w:eastAsia="Calibri" w:hAnsi="Cambria" w:cs="Times New Roman"/>
          <w:b/>
          <w:sz w:val="24"/>
        </w:rPr>
        <w:t>AND</w:t>
      </w:r>
    </w:p>
    <w:p w:rsidR="00CB7071" w:rsidRDefault="00CB7071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:rsidR="00CB7071" w:rsidRPr="00FD6F0A" w:rsidRDefault="00CB7071" w:rsidP="00FD6F0A">
      <w:pPr>
        <w:pStyle w:val="ListParagraph"/>
        <w:numPr>
          <w:ilvl w:val="0"/>
          <w:numId w:val="10"/>
        </w:numPr>
        <w:rPr>
          <w:rFonts w:ascii="Cambria" w:eastAsia="Calibri" w:hAnsi="Cambria"/>
          <w:b/>
        </w:rPr>
      </w:pPr>
      <w:r w:rsidRPr="00FD6F0A">
        <w:rPr>
          <w:rFonts w:ascii="Cambria" w:eastAsia="Calibri" w:hAnsi="Cambria"/>
          <w:b/>
        </w:rPr>
        <w:t xml:space="preserve">Does your project seek to address injured workers in </w:t>
      </w:r>
      <w:r w:rsidR="00431800">
        <w:rPr>
          <w:rFonts w:ascii="Cambria" w:eastAsia="Calibri" w:hAnsi="Cambria"/>
          <w:b/>
        </w:rPr>
        <w:t xml:space="preserve">one or more of </w:t>
      </w:r>
      <w:r w:rsidRPr="00FD6F0A">
        <w:rPr>
          <w:rFonts w:ascii="Cambria" w:eastAsia="Calibri" w:hAnsi="Cambria"/>
          <w:b/>
        </w:rPr>
        <w:t>the following groups?</w:t>
      </w:r>
    </w:p>
    <w:p w:rsidR="00CB7071" w:rsidRDefault="00CB7071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</w:p>
    <w:p w:rsidR="006C287F" w:rsidRDefault="006C287F" w:rsidP="006C287F">
      <w:pPr>
        <w:pStyle w:val="ListParagraph"/>
        <w:numPr>
          <w:ilvl w:val="0"/>
          <w:numId w:val="12"/>
        </w:numPr>
        <w:spacing w:after="160" w:line="252" w:lineRule="auto"/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Short term compensable claim: </w:t>
      </w:r>
      <w:r w:rsidRPr="00EC18D9">
        <w:rPr>
          <w:rFonts w:ascii="Calibri Light" w:hAnsi="Calibri Light" w:cs="Calibri Light"/>
          <w:bCs/>
        </w:rPr>
        <w:t>After a short stint of being off work</w:t>
      </w:r>
      <w:r>
        <w:rPr>
          <w:rFonts w:ascii="Calibri Light" w:hAnsi="Calibri Light" w:cs="Calibri Light"/>
        </w:rPr>
        <w:t>, the worker is able to return to work, typically with the job of injury through the employer of injury.</w:t>
      </w:r>
      <w:r>
        <w:rPr>
          <w:rFonts w:ascii="Calibri Light" w:hAnsi="Calibri Light" w:cs="Calibri Light"/>
          <w:color w:val="1F497D"/>
        </w:rPr>
        <w:t xml:space="preserve"> </w:t>
      </w:r>
    </w:p>
    <w:p w:rsidR="006C287F" w:rsidRDefault="006C287F" w:rsidP="006C287F">
      <w:pPr>
        <w:pStyle w:val="ListParagraph"/>
        <w:numPr>
          <w:ilvl w:val="0"/>
          <w:numId w:val="12"/>
        </w:numPr>
        <w:spacing w:after="160" w:line="252" w:lineRule="auto"/>
        <w:ind w:left="1080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 xml:space="preserve">Long-term compensable: </w:t>
      </w:r>
      <w:r w:rsidR="00BB0A62">
        <w:rPr>
          <w:rFonts w:ascii="Calibri Light" w:hAnsi="Calibri Light" w:cs="Calibri Light"/>
          <w:bCs/>
        </w:rPr>
        <w:t>T</w:t>
      </w:r>
      <w:r>
        <w:rPr>
          <w:rFonts w:ascii="Calibri Light" w:hAnsi="Calibri Light" w:cs="Calibri Light"/>
        </w:rPr>
        <w:t>he worker is not able to return to</w:t>
      </w:r>
      <w:r w:rsidR="00BB0A62">
        <w:rPr>
          <w:rFonts w:ascii="Calibri Light" w:hAnsi="Calibri Light" w:cs="Calibri Light"/>
        </w:rPr>
        <w:t xml:space="preserve"> the</w:t>
      </w:r>
      <w:r>
        <w:rPr>
          <w:rFonts w:ascii="Calibri Light" w:hAnsi="Calibri Light" w:cs="Calibri Light"/>
        </w:rPr>
        <w:t xml:space="preserve"> job of injury. While they may be eligible for retraining, </w:t>
      </w:r>
      <w:r w:rsidR="00BB0A62">
        <w:rPr>
          <w:rFonts w:ascii="Calibri Light" w:hAnsi="Calibri Light" w:cs="Calibri Light"/>
        </w:rPr>
        <w:t xml:space="preserve">they are at high risk for </w:t>
      </w:r>
      <w:r>
        <w:rPr>
          <w:rFonts w:ascii="Calibri Light" w:hAnsi="Calibri Light" w:cs="Calibri Light"/>
        </w:rPr>
        <w:t>long-term disability</w:t>
      </w:r>
      <w:r w:rsidR="00BB0A62">
        <w:rPr>
          <w:rFonts w:ascii="Calibri Light" w:hAnsi="Calibri Light" w:cs="Calibri Light"/>
        </w:rPr>
        <w:t>.</w:t>
      </w:r>
    </w:p>
    <w:p w:rsidR="00BB0A62" w:rsidRDefault="006C287F" w:rsidP="00EC18D9">
      <w:pPr>
        <w:pStyle w:val="ListParagraph"/>
        <w:numPr>
          <w:ilvl w:val="0"/>
          <w:numId w:val="12"/>
        </w:numPr>
        <w:ind w:left="1080"/>
        <w:rPr>
          <w:rFonts w:ascii="Calibri Light" w:hAnsi="Calibri Light" w:cs="Calibri Light"/>
        </w:rPr>
      </w:pPr>
      <w:r w:rsidRPr="00BB0A62">
        <w:rPr>
          <w:rFonts w:ascii="Calibri Light" w:hAnsi="Calibri Light" w:cs="Calibri Light"/>
          <w:b/>
          <w:bCs/>
        </w:rPr>
        <w:t xml:space="preserve">Medical only claim: </w:t>
      </w:r>
      <w:r w:rsidRPr="00EC18D9">
        <w:rPr>
          <w:rFonts w:ascii="Calibri Light" w:hAnsi="Calibri Light" w:cs="Calibri Light"/>
          <w:bCs/>
        </w:rPr>
        <w:t>Either less than three days or</w:t>
      </w:r>
      <w:r w:rsidRPr="00EC18D9">
        <w:rPr>
          <w:rFonts w:ascii="Calibri Light" w:hAnsi="Calibri Light" w:cs="Calibri Light"/>
        </w:rPr>
        <w:t xml:space="preserve"> no time missed from work. </w:t>
      </w:r>
    </w:p>
    <w:p w:rsidR="00BE7D9D" w:rsidRPr="00EC18D9" w:rsidRDefault="00BE7D9D" w:rsidP="00EC18D9">
      <w:pPr>
        <w:pStyle w:val="ListParagraph"/>
        <w:ind w:left="1080"/>
        <w:rPr>
          <w:rFonts w:ascii="Cambria" w:eastAsia="Calibri" w:hAnsi="Cambria"/>
        </w:rPr>
      </w:pPr>
    </w:p>
    <w:p w:rsidR="00A2335E" w:rsidRPr="00A2335E" w:rsidRDefault="00A2335E" w:rsidP="00BE7D9D">
      <w:pPr>
        <w:spacing w:after="0" w:line="240" w:lineRule="auto"/>
        <w:rPr>
          <w:rFonts w:asciiTheme="majorHAnsi" w:eastAsia="Calibri" w:hAnsiTheme="majorHAnsi" w:cstheme="majorHAnsi"/>
          <w:sz w:val="24"/>
        </w:rPr>
      </w:pPr>
      <w:r>
        <w:rPr>
          <w:rFonts w:asciiTheme="majorHAnsi" w:eastAsia="Calibri" w:hAnsiTheme="majorHAnsi" w:cstheme="majorHAnsi"/>
          <w:sz w:val="24"/>
        </w:rPr>
        <w:lastRenderedPageBreak/>
        <w:t>Projects that include p</w:t>
      </w:r>
      <w:r w:rsidRPr="00A2335E">
        <w:rPr>
          <w:rFonts w:asciiTheme="majorHAnsi" w:eastAsia="Calibri" w:hAnsiTheme="majorHAnsi" w:cstheme="majorHAnsi"/>
          <w:sz w:val="24"/>
        </w:rPr>
        <w:t>rogram</w:t>
      </w:r>
      <w:r>
        <w:rPr>
          <w:rFonts w:asciiTheme="majorHAnsi" w:eastAsia="Calibri" w:hAnsiTheme="majorHAnsi" w:cstheme="majorHAnsi"/>
          <w:sz w:val="24"/>
        </w:rPr>
        <w:t>s</w:t>
      </w:r>
      <w:r w:rsidRPr="00A2335E">
        <w:rPr>
          <w:rFonts w:asciiTheme="majorHAnsi" w:eastAsia="Calibri" w:hAnsiTheme="majorHAnsi" w:cstheme="majorHAnsi"/>
          <w:sz w:val="24"/>
        </w:rPr>
        <w:t xml:space="preserve"> or processes </w:t>
      </w:r>
      <w:r w:rsidR="00322918">
        <w:rPr>
          <w:rFonts w:asciiTheme="majorHAnsi" w:eastAsia="Calibri" w:hAnsiTheme="majorHAnsi" w:cstheme="majorHAnsi"/>
          <w:sz w:val="24"/>
        </w:rPr>
        <w:t>intended to assist</w:t>
      </w:r>
      <w:r w:rsidRPr="00A2335E">
        <w:rPr>
          <w:rFonts w:asciiTheme="majorHAnsi" w:eastAsia="Calibri" w:hAnsiTheme="majorHAnsi" w:cstheme="majorHAnsi"/>
          <w:sz w:val="24"/>
        </w:rPr>
        <w:t xml:space="preserve"> returning an injur</w:t>
      </w:r>
      <w:r>
        <w:rPr>
          <w:rFonts w:asciiTheme="majorHAnsi" w:eastAsia="Calibri" w:hAnsiTheme="majorHAnsi" w:cstheme="majorHAnsi"/>
          <w:sz w:val="24"/>
        </w:rPr>
        <w:t>ed worker back to work</w:t>
      </w:r>
      <w:r w:rsidR="00322918">
        <w:rPr>
          <w:rFonts w:asciiTheme="majorHAnsi" w:eastAsia="Calibri" w:hAnsiTheme="majorHAnsi" w:cstheme="majorHAnsi"/>
          <w:sz w:val="24"/>
        </w:rPr>
        <w:t xml:space="preserve"> at any point along a claim </w:t>
      </w:r>
      <w:r w:rsidRPr="00A2335E">
        <w:rPr>
          <w:rFonts w:asciiTheme="majorHAnsi" w:eastAsia="Calibri" w:hAnsiTheme="majorHAnsi" w:cstheme="majorHAnsi"/>
          <w:sz w:val="24"/>
        </w:rPr>
        <w:t xml:space="preserve">until pension </w:t>
      </w:r>
      <w:r w:rsidR="00322918">
        <w:rPr>
          <w:rFonts w:asciiTheme="majorHAnsi" w:eastAsia="Calibri" w:hAnsiTheme="majorHAnsi" w:cstheme="majorHAnsi"/>
          <w:sz w:val="24"/>
        </w:rPr>
        <w:t>will</w:t>
      </w:r>
      <w:r w:rsidRPr="00A2335E">
        <w:rPr>
          <w:rFonts w:asciiTheme="majorHAnsi" w:eastAsia="Calibri" w:hAnsiTheme="majorHAnsi" w:cstheme="majorHAnsi"/>
          <w:sz w:val="24"/>
        </w:rPr>
        <w:t xml:space="preserve"> be considered</w:t>
      </w:r>
      <w:r w:rsidR="00322918">
        <w:rPr>
          <w:rFonts w:asciiTheme="majorHAnsi" w:eastAsia="Calibri" w:hAnsiTheme="majorHAnsi" w:cstheme="majorHAnsi"/>
          <w:sz w:val="24"/>
        </w:rPr>
        <w:t xml:space="preserve">.  These programs </w:t>
      </w:r>
      <w:r w:rsidRPr="00A2335E">
        <w:rPr>
          <w:rFonts w:asciiTheme="majorHAnsi" w:eastAsia="Calibri" w:hAnsiTheme="majorHAnsi" w:cstheme="majorHAnsi"/>
          <w:sz w:val="24"/>
        </w:rPr>
        <w:t>include</w:t>
      </w:r>
      <w:r w:rsidR="00EC18D9">
        <w:rPr>
          <w:rFonts w:asciiTheme="majorHAnsi" w:eastAsia="Calibri" w:hAnsiTheme="majorHAnsi" w:cstheme="majorHAnsi"/>
          <w:sz w:val="24"/>
        </w:rPr>
        <w:t xml:space="preserve"> but may not be limited to</w:t>
      </w:r>
      <w:r w:rsidRPr="00A2335E">
        <w:rPr>
          <w:rFonts w:asciiTheme="majorHAnsi" w:eastAsia="Calibri" w:hAnsiTheme="majorHAnsi" w:cstheme="majorHAnsi"/>
          <w:sz w:val="24"/>
        </w:rPr>
        <w:t>:</w:t>
      </w:r>
    </w:p>
    <w:p w:rsidR="00A2335E" w:rsidRPr="00A2335E" w:rsidRDefault="00322918" w:rsidP="00A2335E">
      <w:pPr>
        <w:pStyle w:val="ListParagraph"/>
        <w:numPr>
          <w:ilvl w:val="0"/>
          <w:numId w:val="9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Promoting </w:t>
      </w:r>
      <w:r w:rsidR="00BB0A62">
        <w:rPr>
          <w:rFonts w:asciiTheme="majorHAnsi" w:eastAsia="Calibri" w:hAnsiTheme="majorHAnsi" w:cstheme="majorHAnsi"/>
        </w:rPr>
        <w:t>modified</w:t>
      </w:r>
      <w:r w:rsidR="00BB0A62" w:rsidRPr="00A2335E"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d</w:t>
      </w:r>
      <w:r w:rsidR="00A2335E" w:rsidRPr="00A2335E">
        <w:rPr>
          <w:rFonts w:asciiTheme="majorHAnsi" w:eastAsia="Calibri" w:hAnsiTheme="majorHAnsi" w:cstheme="majorHAnsi"/>
        </w:rPr>
        <w:t xml:space="preserve">uty </w:t>
      </w:r>
      <w:r>
        <w:rPr>
          <w:rFonts w:asciiTheme="majorHAnsi" w:eastAsia="Calibri" w:hAnsiTheme="majorHAnsi" w:cstheme="majorHAnsi"/>
        </w:rPr>
        <w:t>or graduated return to work</w:t>
      </w:r>
    </w:p>
    <w:p w:rsidR="00A2335E" w:rsidRDefault="00322918" w:rsidP="00A2335E">
      <w:pPr>
        <w:pStyle w:val="ListParagraph"/>
        <w:numPr>
          <w:ilvl w:val="0"/>
          <w:numId w:val="9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Assisting in taking advantage </w:t>
      </w:r>
      <w:r w:rsidR="000941F1">
        <w:rPr>
          <w:rFonts w:asciiTheme="majorHAnsi" w:eastAsia="Calibri" w:hAnsiTheme="majorHAnsi" w:cstheme="majorHAnsi"/>
        </w:rPr>
        <w:t>of incentive programs like Stay</w:t>
      </w:r>
      <w:r>
        <w:rPr>
          <w:rFonts w:asciiTheme="majorHAnsi" w:eastAsia="Calibri" w:hAnsiTheme="majorHAnsi" w:cstheme="majorHAnsi"/>
        </w:rPr>
        <w:t xml:space="preserve"> at Work</w:t>
      </w:r>
      <w:r w:rsidR="00BB0A62">
        <w:rPr>
          <w:rFonts w:asciiTheme="majorHAnsi" w:eastAsia="Calibri" w:hAnsiTheme="majorHAnsi" w:cstheme="majorHAnsi"/>
        </w:rPr>
        <w:t>, Job Modification,</w:t>
      </w:r>
      <w:r>
        <w:rPr>
          <w:rFonts w:asciiTheme="majorHAnsi" w:eastAsia="Calibri" w:hAnsiTheme="majorHAnsi" w:cstheme="majorHAnsi"/>
        </w:rPr>
        <w:t xml:space="preserve"> or P</w:t>
      </w:r>
      <w:r w:rsidR="00A2335E" w:rsidRPr="00A2335E">
        <w:rPr>
          <w:rFonts w:asciiTheme="majorHAnsi" w:eastAsia="Calibri" w:hAnsiTheme="majorHAnsi" w:cstheme="majorHAnsi"/>
        </w:rPr>
        <w:t>referred Work</w:t>
      </w:r>
      <w:r w:rsidR="000941F1">
        <w:rPr>
          <w:rFonts w:asciiTheme="majorHAnsi" w:eastAsia="Calibri" w:hAnsiTheme="majorHAnsi" w:cstheme="majorHAnsi"/>
        </w:rPr>
        <w:t>er</w:t>
      </w:r>
    </w:p>
    <w:p w:rsidR="00322918" w:rsidRPr="00A2335E" w:rsidRDefault="00322918" w:rsidP="00A2335E">
      <w:pPr>
        <w:pStyle w:val="ListParagraph"/>
        <w:numPr>
          <w:ilvl w:val="0"/>
          <w:numId w:val="9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Establishing </w:t>
      </w:r>
      <w:r w:rsidR="001A32AA">
        <w:rPr>
          <w:rFonts w:asciiTheme="majorHAnsi" w:eastAsia="Calibri" w:hAnsiTheme="majorHAnsi" w:cstheme="majorHAnsi"/>
        </w:rPr>
        <w:t xml:space="preserve">an </w:t>
      </w:r>
      <w:r>
        <w:rPr>
          <w:rFonts w:asciiTheme="majorHAnsi" w:eastAsia="Calibri" w:hAnsiTheme="majorHAnsi" w:cstheme="majorHAnsi"/>
        </w:rPr>
        <w:t xml:space="preserve">effective return to work program </w:t>
      </w:r>
      <w:r w:rsidR="00BB0A62">
        <w:rPr>
          <w:rFonts w:asciiTheme="majorHAnsi" w:eastAsia="Calibri" w:hAnsiTheme="majorHAnsi" w:cstheme="majorHAnsi"/>
        </w:rPr>
        <w:t>in the event of an injury</w:t>
      </w:r>
    </w:p>
    <w:p w:rsidR="00A2335E" w:rsidRPr="00A2335E" w:rsidRDefault="00322918" w:rsidP="00A2335E">
      <w:pPr>
        <w:pStyle w:val="ListParagraph"/>
        <w:numPr>
          <w:ilvl w:val="0"/>
          <w:numId w:val="9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Assisting in creating On the Job Training opportunities</w:t>
      </w:r>
    </w:p>
    <w:p w:rsidR="00A2335E" w:rsidRDefault="00322918" w:rsidP="00A2335E">
      <w:pPr>
        <w:pStyle w:val="ListParagraph"/>
        <w:numPr>
          <w:ilvl w:val="0"/>
          <w:numId w:val="9"/>
        </w:numPr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Crea</w:t>
      </w:r>
      <w:r w:rsidR="00830768">
        <w:rPr>
          <w:rFonts w:asciiTheme="majorHAnsi" w:eastAsia="Calibri" w:hAnsiTheme="majorHAnsi" w:cstheme="majorHAnsi"/>
        </w:rPr>
        <w:t>ting programs to hire workers who</w:t>
      </w:r>
      <w:r>
        <w:rPr>
          <w:rFonts w:asciiTheme="majorHAnsi" w:eastAsia="Calibri" w:hAnsiTheme="majorHAnsi" w:cstheme="majorHAnsi"/>
        </w:rPr>
        <w:t xml:space="preserve"> have been retrained</w:t>
      </w:r>
    </w:p>
    <w:p w:rsidR="00A2335E" w:rsidRPr="00A2335E" w:rsidRDefault="00A2335E" w:rsidP="00A2335E">
      <w:pPr>
        <w:pStyle w:val="ListParagraph"/>
        <w:rPr>
          <w:rFonts w:ascii="Cambria" w:eastAsia="Calibri" w:hAnsi="Cambria"/>
        </w:rPr>
      </w:pP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F44768">
        <w:rPr>
          <w:rFonts w:ascii="Cambria" w:eastAsia="Calibri" w:hAnsi="Cambria" w:cs="Times New Roman"/>
          <w:b/>
          <w:sz w:val="24"/>
        </w:rPr>
        <w:t xml:space="preserve">Does your project </w:t>
      </w:r>
    </w:p>
    <w:p w:rsidR="00BE7D9D" w:rsidRPr="00F44768" w:rsidRDefault="00BE7D9D" w:rsidP="00BE7D9D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Develop</w:t>
      </w:r>
      <w:r w:rsidR="00CE3382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F44768">
        <w:rPr>
          <w:rFonts w:ascii="Cambria" w:eastAsia="Times New Roman" w:hAnsi="Cambria" w:cs="Times New Roman"/>
          <w:sz w:val="24"/>
          <w:szCs w:val="24"/>
        </w:rPr>
        <w:t>best practices,</w:t>
      </w:r>
      <w:r w:rsidR="00CE3382">
        <w:rPr>
          <w:rFonts w:ascii="Cambria" w:eastAsia="Times New Roman" w:hAnsi="Cambria" w:cs="Times New Roman"/>
          <w:sz w:val="24"/>
          <w:szCs w:val="24"/>
        </w:rPr>
        <w:t xml:space="preserve"> programs,</w:t>
      </w:r>
      <w:r w:rsidRPr="00F44768">
        <w:rPr>
          <w:rFonts w:ascii="Cambria" w:eastAsia="Times New Roman" w:hAnsi="Cambria" w:cs="Times New Roman"/>
          <w:sz w:val="24"/>
          <w:szCs w:val="24"/>
        </w:rPr>
        <w:t xml:space="preserve"> or education and training?</w:t>
      </w:r>
    </w:p>
    <w:p w:rsidR="00BE7D9D" w:rsidRPr="00F44768" w:rsidRDefault="00BE7D9D" w:rsidP="00BE7D9D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Address specific priorities identified in the Request for Proposal (RFP)</w:t>
      </w:r>
    </w:p>
    <w:p w:rsidR="00BE7D9D" w:rsidRPr="00F44768" w:rsidRDefault="00BE7D9D" w:rsidP="00BE7D9D">
      <w:pPr>
        <w:numPr>
          <w:ilvl w:val="0"/>
          <w:numId w:val="6"/>
        </w:numPr>
        <w:spacing w:after="0" w:line="240" w:lineRule="auto"/>
        <w:ind w:left="360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Foster prevention through cooperation between employers and employees or their representatives</w:t>
      </w: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Default="00BE7D9D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F44768">
        <w:rPr>
          <w:rFonts w:ascii="Cambria" w:eastAsia="Calibri" w:hAnsi="Cambria" w:cs="Times New Roman"/>
          <w:b/>
          <w:sz w:val="24"/>
        </w:rPr>
        <w:t xml:space="preserve">Are there already substantially similar products available to what you are proposing?  </w:t>
      </w:r>
    </w:p>
    <w:p w:rsidR="00BE7D9D" w:rsidRDefault="00BE7D9D" w:rsidP="00BE7D9D">
      <w:pPr>
        <w:pStyle w:val="ListParagraph"/>
        <w:numPr>
          <w:ilvl w:val="0"/>
          <w:numId w:val="8"/>
        </w:numPr>
        <w:rPr>
          <w:rFonts w:ascii="Cambria" w:eastAsia="Calibri" w:hAnsi="Cambria"/>
          <w:b/>
        </w:rPr>
      </w:pPr>
      <w:r w:rsidRPr="00F44768">
        <w:rPr>
          <w:rFonts w:ascii="Cambria" w:eastAsia="Calibri" w:hAnsi="Cambria"/>
          <w:b/>
        </w:rPr>
        <w:t xml:space="preserve">Are they available in the public domain?  </w:t>
      </w:r>
    </w:p>
    <w:p w:rsidR="00BE7D9D" w:rsidRDefault="00BE7D9D" w:rsidP="00BE7D9D">
      <w:pPr>
        <w:pStyle w:val="ListParagraph"/>
        <w:numPr>
          <w:ilvl w:val="1"/>
          <w:numId w:val="8"/>
        </w:numPr>
        <w:rPr>
          <w:rFonts w:ascii="Cambria" w:eastAsia="Calibri" w:hAnsi="Cambria"/>
          <w:b/>
        </w:rPr>
      </w:pPr>
      <w:r w:rsidRPr="00F44768">
        <w:rPr>
          <w:rFonts w:ascii="Cambria" w:eastAsia="Calibri" w:hAnsi="Cambria"/>
          <w:b/>
        </w:rPr>
        <w:t>If there are already substantially similar products available, what is the benefit to engaging in this project?</w:t>
      </w:r>
    </w:p>
    <w:p w:rsidR="00830768" w:rsidRDefault="00830768" w:rsidP="00830768">
      <w:pPr>
        <w:rPr>
          <w:rFonts w:ascii="Cambria" w:eastAsia="Calibri" w:hAnsi="Cambria"/>
          <w:b/>
        </w:rPr>
      </w:pPr>
    </w:p>
    <w:p w:rsidR="00830768" w:rsidRPr="00F44768" w:rsidRDefault="00830768" w:rsidP="00830768">
      <w:pPr>
        <w:pBdr>
          <w:top w:val="dotDash" w:sz="12" w:space="1" w:color="auto"/>
          <w:left w:val="dotDash" w:sz="12" w:space="4" w:color="auto"/>
          <w:bottom w:val="dotDash" w:sz="12" w:space="1" w:color="auto"/>
          <w:right w:val="dotDash" w:sz="12" w:space="4" w:color="auto"/>
        </w:pBdr>
        <w:spacing w:after="0" w:line="240" w:lineRule="auto"/>
        <w:rPr>
          <w:rFonts w:ascii="Cambria" w:eastAsia="Calibri" w:hAnsi="Cambria" w:cs="Times New Roman"/>
        </w:rPr>
      </w:pPr>
      <w:r w:rsidRPr="00F44768">
        <w:rPr>
          <w:rFonts w:ascii="Cambria" w:eastAsia="Calibri" w:hAnsi="Cambria" w:cs="Times New Roman"/>
          <w:b/>
          <w:smallCaps/>
        </w:rPr>
        <w:t>Note</w:t>
      </w:r>
      <w:r w:rsidRPr="00F44768">
        <w:rPr>
          <w:rFonts w:ascii="Cambria" w:eastAsia="Calibri" w:hAnsi="Cambria" w:cs="Times New Roman"/>
        </w:rPr>
        <w:t xml:space="preserve">: All products produced, whether by the grantee or a subcontractor to the grantee, as a result of a SHIP grant are in the public </w:t>
      </w:r>
      <w:r w:rsidRPr="00F44768">
        <w:rPr>
          <w:rFonts w:ascii="Cambria" w:eastAsia="Calibri" w:hAnsi="Cambria" w:cs="Times New Roman"/>
        </w:rPr>
        <w:lastRenderedPageBreak/>
        <w:t>domain and cannot be copyrighted, patented, claimed as trade secrets, or otherwise restricted in anyway.</w:t>
      </w: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sz w:val="24"/>
        </w:rPr>
      </w:pPr>
    </w:p>
    <w:p w:rsidR="00BE7D9D" w:rsidRPr="00F44768" w:rsidRDefault="00BE7D9D" w:rsidP="00BE7D9D">
      <w:pPr>
        <w:spacing w:after="0" w:line="240" w:lineRule="auto"/>
        <w:rPr>
          <w:rFonts w:ascii="Cambria" w:eastAsia="Calibri" w:hAnsi="Cambria" w:cs="Times New Roman"/>
          <w:b/>
          <w:sz w:val="24"/>
        </w:rPr>
      </w:pPr>
      <w:r w:rsidRPr="00F44768">
        <w:rPr>
          <w:rFonts w:ascii="Cambria" w:eastAsia="Calibri" w:hAnsi="Cambria" w:cs="Times New Roman"/>
          <w:b/>
          <w:sz w:val="24"/>
        </w:rPr>
        <w:t>Project may not involve the following:</w:t>
      </w:r>
    </w:p>
    <w:p w:rsidR="00BE7D9D" w:rsidRPr="00F44768" w:rsidRDefault="00BE7D9D" w:rsidP="00BE7D9D">
      <w:pPr>
        <w:numPr>
          <w:ilvl w:val="0"/>
          <w:numId w:val="7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 xml:space="preserve">Funds cannot be used to come into compliance with applicable </w:t>
      </w:r>
      <w:r w:rsidR="00830768">
        <w:rPr>
          <w:rFonts w:ascii="Cambria" w:eastAsia="Times New Roman" w:hAnsi="Cambria" w:cs="Times New Roman"/>
          <w:sz w:val="24"/>
          <w:szCs w:val="24"/>
        </w:rPr>
        <w:t>workers’ compensation laws</w:t>
      </w:r>
      <w:r w:rsidRPr="00F44768">
        <w:rPr>
          <w:rFonts w:ascii="Cambria" w:eastAsia="Times New Roman" w:hAnsi="Cambria" w:cs="Times New Roman"/>
          <w:sz w:val="24"/>
          <w:szCs w:val="24"/>
        </w:rPr>
        <w:t xml:space="preserve">  or other legal requirements</w:t>
      </w:r>
    </w:p>
    <w:p w:rsidR="00BE7D9D" w:rsidRPr="00F44768" w:rsidRDefault="00BE7D9D" w:rsidP="00BE7D9D">
      <w:pPr>
        <w:numPr>
          <w:ilvl w:val="0"/>
          <w:numId w:val="7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Funds cannot include activities that involve lobbying or political activities or the support or opposition or development of legislative or regulatory initiatives.</w:t>
      </w:r>
    </w:p>
    <w:p w:rsidR="00BE7D9D" w:rsidRDefault="00BE7D9D" w:rsidP="00BE7D9D">
      <w:pPr>
        <w:numPr>
          <w:ilvl w:val="0"/>
          <w:numId w:val="7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 w:rsidRPr="00F44768">
        <w:rPr>
          <w:rFonts w:ascii="Cambria" w:eastAsia="Times New Roman" w:hAnsi="Cambria" w:cs="Times New Roman"/>
          <w:sz w:val="24"/>
          <w:szCs w:val="24"/>
        </w:rPr>
        <w:t>Funds should not be utilized for the main purpose of purchasing equipment.</w:t>
      </w:r>
    </w:p>
    <w:p w:rsidR="00693F5E" w:rsidRDefault="00693F5E" w:rsidP="00BE7D9D">
      <w:pPr>
        <w:numPr>
          <w:ilvl w:val="0"/>
          <w:numId w:val="7"/>
        </w:numPr>
        <w:spacing w:after="0" w:line="240" w:lineRule="auto"/>
        <w:contextualSpacing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>Project may not seek to impact agency operations or how workers’ compensation is adjudicated at the Department</w:t>
      </w:r>
    </w:p>
    <w:p w:rsidR="00012CE6" w:rsidRDefault="00012CE6" w:rsidP="00012CE6">
      <w:pPr>
        <w:numPr>
          <w:ilvl w:val="0"/>
          <w:numId w:val="7"/>
        </w:numPr>
        <w:spacing w:after="0" w:line="240" w:lineRule="auto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>Indirect costs associated with the project may not exceed 10%</w:t>
      </w:r>
    </w:p>
    <w:p w:rsidR="00830768" w:rsidRPr="00830768" w:rsidRDefault="00830768" w:rsidP="00012CE6">
      <w:pPr>
        <w:spacing w:after="0" w:line="240" w:lineRule="auto"/>
        <w:ind w:left="720"/>
        <w:contextualSpacing/>
        <w:rPr>
          <w:rFonts w:ascii="Cambria" w:hAnsi="Cambria"/>
        </w:rPr>
      </w:pPr>
    </w:p>
    <w:p w:rsidR="003E0300" w:rsidRDefault="003E0300"/>
    <w:sectPr w:rsidR="003E0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EA1" w:rsidRDefault="00492EA1" w:rsidP="00830768">
      <w:pPr>
        <w:spacing w:after="0" w:line="240" w:lineRule="auto"/>
      </w:pPr>
      <w:r>
        <w:separator/>
      </w:r>
    </w:p>
  </w:endnote>
  <w:endnote w:type="continuationSeparator" w:id="0">
    <w:p w:rsidR="00492EA1" w:rsidRDefault="00492EA1" w:rsidP="00830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EA1" w:rsidRDefault="00492EA1" w:rsidP="00830768">
      <w:pPr>
        <w:spacing w:after="0" w:line="240" w:lineRule="auto"/>
      </w:pPr>
      <w:r>
        <w:separator/>
      </w:r>
    </w:p>
  </w:footnote>
  <w:footnote w:type="continuationSeparator" w:id="0">
    <w:p w:rsidR="00492EA1" w:rsidRDefault="00492EA1" w:rsidP="00830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768" w:rsidRPr="00F44768" w:rsidRDefault="00830768" w:rsidP="00830768">
    <w:pPr>
      <w:pBdr>
        <w:top w:val="dotDash" w:sz="12" w:space="1" w:color="auto"/>
        <w:left w:val="dotDash" w:sz="12" w:space="4" w:color="auto"/>
        <w:bottom w:val="dotDash" w:sz="12" w:space="1" w:color="auto"/>
        <w:right w:val="dotDash" w:sz="12" w:space="4" w:color="auto"/>
      </w:pBdr>
      <w:spacing w:after="0" w:line="240" w:lineRule="auto"/>
      <w:rPr>
        <w:rFonts w:ascii="Cambria" w:eastAsia="Calibri" w:hAnsi="Cambria" w:cs="Times New Roman"/>
      </w:rPr>
    </w:pPr>
    <w:r w:rsidRPr="00F44768">
      <w:rPr>
        <w:rFonts w:ascii="Cambria" w:eastAsia="Calibri" w:hAnsi="Cambria" w:cs="Times New Roman"/>
        <w:b/>
        <w:smallCaps/>
      </w:rPr>
      <w:t>Note</w:t>
    </w:r>
    <w:r w:rsidRPr="00F44768">
      <w:rPr>
        <w:rFonts w:ascii="Cambria" w:eastAsia="Calibri" w:hAnsi="Cambria" w:cs="Times New Roman"/>
      </w:rPr>
      <w:t>: All products produced, whether by the grantee or a subcontractor to the grantee, as a result of a SHIP grant are in the public domain and cannot be copyrighted, patented, claimed as trade secrets, or otherwise restricted in anyway.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32A1"/>
    <w:multiLevelType w:val="hybridMultilevel"/>
    <w:tmpl w:val="EC26EE88"/>
    <w:lvl w:ilvl="0" w:tplc="6130016C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1" w:tplc="0672B0EE" w:tentative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 w:tplc="0B2E482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3" w:tplc="44B43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4" w:tplc="B4C21A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5" w:tplc="9704F6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6" w:tplc="66C281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7" w:tplc="28801D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8" w:tplc="BF0848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</w:abstractNum>
  <w:abstractNum w:abstractNumId="1" w15:restartNumberingAfterBreak="0">
    <w:nsid w:val="05316B0A"/>
    <w:multiLevelType w:val="hybridMultilevel"/>
    <w:tmpl w:val="55A87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648F"/>
    <w:multiLevelType w:val="hybridMultilevel"/>
    <w:tmpl w:val="326CB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75FBF"/>
    <w:multiLevelType w:val="hybridMultilevel"/>
    <w:tmpl w:val="C9206B56"/>
    <w:lvl w:ilvl="0" w:tplc="642A0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98A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6465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E65E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8C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0C9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424B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3EB3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4E7F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A147BAA"/>
    <w:multiLevelType w:val="hybridMultilevel"/>
    <w:tmpl w:val="FFAE632E"/>
    <w:lvl w:ilvl="0" w:tplc="6F3CD30E">
      <w:start w:val="1"/>
      <w:numFmt w:val="bullet"/>
      <w:lvlText w:val="‾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E6A2E" w:tentative="1">
      <w:start w:val="1"/>
      <w:numFmt w:val="bullet"/>
      <w:lvlText w:val="‾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CF268" w:tentative="1">
      <w:start w:val="1"/>
      <w:numFmt w:val="bullet"/>
      <w:lvlText w:val="‾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6EDACC" w:tentative="1">
      <w:start w:val="1"/>
      <w:numFmt w:val="bullet"/>
      <w:lvlText w:val="‾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6C976C" w:tentative="1">
      <w:start w:val="1"/>
      <w:numFmt w:val="bullet"/>
      <w:lvlText w:val="‾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82854" w:tentative="1">
      <w:start w:val="1"/>
      <w:numFmt w:val="bullet"/>
      <w:lvlText w:val="‾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8CBDD4" w:tentative="1">
      <w:start w:val="1"/>
      <w:numFmt w:val="bullet"/>
      <w:lvlText w:val="‾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FA67F2" w:tentative="1">
      <w:start w:val="1"/>
      <w:numFmt w:val="bullet"/>
      <w:lvlText w:val="‾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29F28" w:tentative="1">
      <w:start w:val="1"/>
      <w:numFmt w:val="bullet"/>
      <w:lvlText w:val="‾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DC22B5"/>
    <w:multiLevelType w:val="hybridMultilevel"/>
    <w:tmpl w:val="57F6F224"/>
    <w:lvl w:ilvl="0" w:tplc="DC44C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2E91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8A69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22D98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8618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696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41D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41F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26F2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65A3F00"/>
    <w:multiLevelType w:val="hybridMultilevel"/>
    <w:tmpl w:val="587E4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80D61"/>
    <w:multiLevelType w:val="hybridMultilevel"/>
    <w:tmpl w:val="C66C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074FA"/>
    <w:multiLevelType w:val="hybridMultilevel"/>
    <w:tmpl w:val="47A4C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862DF"/>
    <w:multiLevelType w:val="hybridMultilevel"/>
    <w:tmpl w:val="6DCA4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A7CF4"/>
    <w:multiLevelType w:val="hybridMultilevel"/>
    <w:tmpl w:val="C18ED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9D"/>
    <w:rsid w:val="00012CE6"/>
    <w:rsid w:val="00016F1B"/>
    <w:rsid w:val="000941F1"/>
    <w:rsid w:val="001A32AA"/>
    <w:rsid w:val="0022139F"/>
    <w:rsid w:val="002615FF"/>
    <w:rsid w:val="002C494C"/>
    <w:rsid w:val="00322918"/>
    <w:rsid w:val="003E0300"/>
    <w:rsid w:val="00431800"/>
    <w:rsid w:val="0047428C"/>
    <w:rsid w:val="00492EA1"/>
    <w:rsid w:val="00521A6A"/>
    <w:rsid w:val="00641C2F"/>
    <w:rsid w:val="00693F5E"/>
    <w:rsid w:val="006C287F"/>
    <w:rsid w:val="006E04CD"/>
    <w:rsid w:val="00830768"/>
    <w:rsid w:val="008B322B"/>
    <w:rsid w:val="00A2335E"/>
    <w:rsid w:val="00A776D7"/>
    <w:rsid w:val="00BB0A62"/>
    <w:rsid w:val="00BE7D9D"/>
    <w:rsid w:val="00CB7071"/>
    <w:rsid w:val="00CE3382"/>
    <w:rsid w:val="00D66D69"/>
    <w:rsid w:val="00DD7738"/>
    <w:rsid w:val="00DF0D20"/>
    <w:rsid w:val="00EC18D9"/>
    <w:rsid w:val="00FD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DD96D-4493-4DE7-B04F-EC0F38E3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9D"/>
  </w:style>
  <w:style w:type="paragraph" w:styleId="Heading1">
    <w:name w:val="heading 1"/>
    <w:basedOn w:val="Normal"/>
    <w:next w:val="Normal"/>
    <w:link w:val="Heading1Char"/>
    <w:uiPriority w:val="9"/>
    <w:qFormat/>
    <w:rsid w:val="00BE7D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7D9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7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next w:val="Heading1"/>
    <w:qFormat/>
    <w:rsid w:val="00BE7D9D"/>
    <w:pPr>
      <w:shd w:val="clear" w:color="auto" w:fill="AF5E05"/>
      <w:spacing w:before="600"/>
      <w:ind w:left="2340"/>
    </w:pPr>
    <w:rPr>
      <w:rFonts w:ascii="Arial" w:hAnsi="Arial" w:cs="Arial"/>
      <w:b/>
      <w:bCs/>
      <w:color w:val="FFFFFF" w:themeColor="background1"/>
      <w:kern w:val="24"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BE7D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30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68"/>
  </w:style>
  <w:style w:type="paragraph" w:styleId="Footer">
    <w:name w:val="footer"/>
    <w:basedOn w:val="Normal"/>
    <w:link w:val="FooterChar"/>
    <w:uiPriority w:val="99"/>
    <w:unhideWhenUsed/>
    <w:rsid w:val="00830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68"/>
  </w:style>
  <w:style w:type="character" w:styleId="CommentReference">
    <w:name w:val="annotation reference"/>
    <w:basedOn w:val="DefaultParagraphFont"/>
    <w:uiPriority w:val="99"/>
    <w:semiHidden/>
    <w:unhideWhenUsed/>
    <w:rsid w:val="00BB0A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A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A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A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A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Jellison, Jenifer (LNI)</dc:creator>
  <cp:keywords/>
  <dc:description/>
  <cp:lastModifiedBy>Sortor, Katherine (LNI)</cp:lastModifiedBy>
  <cp:revision>2</cp:revision>
  <dcterms:created xsi:type="dcterms:W3CDTF">2023-10-18T15:17:00Z</dcterms:created>
  <dcterms:modified xsi:type="dcterms:W3CDTF">2023-10-18T15:17:00Z</dcterms:modified>
</cp:coreProperties>
</file>