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0B" w:rsidRPr="002601BB" w:rsidRDefault="0006780B" w:rsidP="0006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1BB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The Department of Labor and Industries is </w:t>
      </w:r>
      <w:r w:rsidR="001E6F43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now accepting proposals </w:t>
      </w:r>
      <w:r w:rsidRPr="002601BB">
        <w:rPr>
          <w:rFonts w:ascii="Trebuchet MS" w:eastAsia="Times New Roman" w:hAnsi="Trebuchet MS" w:cs="Times New Roman"/>
          <w:color w:val="000000"/>
          <w:sz w:val="28"/>
          <w:szCs w:val="28"/>
        </w:rPr>
        <w:t>for SHIP</w:t>
      </w:r>
      <w:r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 R</w:t>
      </w:r>
      <w:r w:rsidR="004E3DD9">
        <w:rPr>
          <w:rFonts w:ascii="Trebuchet MS" w:eastAsia="Times New Roman" w:hAnsi="Trebuchet MS" w:cs="Times New Roman"/>
          <w:color w:val="000000"/>
          <w:sz w:val="28"/>
          <w:szCs w:val="28"/>
        </w:rPr>
        <w:t>eturn</w:t>
      </w:r>
      <w:r w:rsidR="005561A6">
        <w:rPr>
          <w:rFonts w:ascii="Trebuchet MS" w:eastAsia="Times New Roman" w:hAnsi="Trebuchet MS" w:cs="Times New Roman"/>
          <w:color w:val="000000"/>
          <w:sz w:val="28"/>
          <w:szCs w:val="28"/>
        </w:rPr>
        <w:t>-</w:t>
      </w:r>
      <w:r w:rsidR="004E3DD9">
        <w:rPr>
          <w:rFonts w:ascii="Trebuchet MS" w:eastAsia="Times New Roman" w:hAnsi="Trebuchet MS" w:cs="Times New Roman"/>
          <w:color w:val="000000"/>
          <w:sz w:val="28"/>
          <w:szCs w:val="28"/>
        </w:rPr>
        <w:t>To</w:t>
      </w:r>
      <w:r w:rsidR="005561A6">
        <w:rPr>
          <w:rFonts w:ascii="Trebuchet MS" w:eastAsia="Times New Roman" w:hAnsi="Trebuchet MS" w:cs="Times New Roman"/>
          <w:color w:val="000000"/>
          <w:sz w:val="28"/>
          <w:szCs w:val="28"/>
        </w:rPr>
        <w:t>-</w:t>
      </w:r>
      <w:r w:rsidR="004E3DD9">
        <w:rPr>
          <w:rFonts w:ascii="Trebuchet MS" w:eastAsia="Times New Roman" w:hAnsi="Trebuchet MS" w:cs="Times New Roman"/>
          <w:color w:val="000000"/>
          <w:sz w:val="28"/>
          <w:szCs w:val="28"/>
        </w:rPr>
        <w:t>Work (RTW)</w:t>
      </w:r>
      <w:r w:rsidRPr="002601BB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 grants.  Applications</w:t>
      </w:r>
      <w:r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 will be accepted until </w:t>
      </w:r>
      <w:bookmarkStart w:id="0" w:name="_GoBack"/>
      <w:r>
        <w:rPr>
          <w:rFonts w:ascii="Trebuchet MS" w:eastAsia="Times New Roman" w:hAnsi="Trebuchet MS" w:cs="Times New Roman"/>
          <w:color w:val="000000"/>
          <w:sz w:val="28"/>
          <w:szCs w:val="28"/>
        </w:rPr>
        <w:t>further notice.</w:t>
      </w:r>
    </w:p>
    <w:bookmarkEnd w:id="0"/>
    <w:p w:rsidR="0006780B" w:rsidRPr="00C42D53" w:rsidRDefault="0006780B" w:rsidP="0006780B">
      <w:pPr>
        <w:pStyle w:val="PlainText"/>
        <w:rPr>
          <w:rFonts w:ascii="Trebuchet MS" w:hAnsi="Trebuchet MS"/>
          <w:color w:val="auto"/>
          <w:szCs w:val="24"/>
        </w:rPr>
      </w:pPr>
      <w:r w:rsidRPr="002601BB">
        <w:rPr>
          <w:rFonts w:ascii="Times New Roman" w:eastAsia="Times New Roman" w:hAnsi="Times New Roman" w:cs="Times New Roman"/>
          <w:szCs w:val="24"/>
        </w:rPr>
        <w:br/>
      </w:r>
      <w:r w:rsidRPr="00C42D53">
        <w:rPr>
          <w:rFonts w:ascii="Trebuchet MS" w:hAnsi="Trebuchet MS"/>
          <w:color w:val="auto"/>
          <w:szCs w:val="24"/>
        </w:rPr>
        <w:t xml:space="preserve">The Department of Labor and Industries’ Safety and Health Investment Projects (SHIP) Program funds grants that seek to: </w:t>
      </w:r>
    </w:p>
    <w:p w:rsidR="0006780B" w:rsidRPr="00C42D53" w:rsidRDefault="0006780B" w:rsidP="0006780B">
      <w:pPr>
        <w:pStyle w:val="PlainText"/>
        <w:rPr>
          <w:rFonts w:ascii="Trebuchet MS" w:hAnsi="Trebuchet MS"/>
          <w:color w:val="auto"/>
          <w:szCs w:val="24"/>
        </w:rPr>
      </w:pPr>
    </w:p>
    <w:p w:rsidR="0006780B" w:rsidRPr="00C42D53" w:rsidRDefault="0006780B" w:rsidP="0006780B">
      <w:pPr>
        <w:pStyle w:val="PlainText"/>
        <w:numPr>
          <w:ilvl w:val="0"/>
          <w:numId w:val="4"/>
        </w:numPr>
        <w:rPr>
          <w:rFonts w:ascii="Trebuchet MS" w:hAnsi="Trebuchet MS"/>
          <w:color w:val="auto"/>
          <w:szCs w:val="24"/>
        </w:rPr>
      </w:pPr>
      <w:r w:rsidRPr="00C42D53">
        <w:rPr>
          <w:rFonts w:ascii="Trebuchet MS" w:hAnsi="Trebuchet MS"/>
          <w:color w:val="auto"/>
          <w:szCs w:val="24"/>
        </w:rPr>
        <w:t>Prevent workplace injury, illness, and fatality in Washington workplaces through cooperation of employers and employees or their representatives.</w:t>
      </w:r>
    </w:p>
    <w:p w:rsidR="0006780B" w:rsidRPr="00C42D53" w:rsidRDefault="0006780B" w:rsidP="0006780B">
      <w:pPr>
        <w:pStyle w:val="PlainText"/>
        <w:numPr>
          <w:ilvl w:val="0"/>
          <w:numId w:val="4"/>
        </w:numPr>
        <w:rPr>
          <w:rFonts w:ascii="Trebuchet MS" w:hAnsi="Trebuchet MS"/>
          <w:color w:val="auto"/>
          <w:szCs w:val="24"/>
        </w:rPr>
      </w:pPr>
      <w:r w:rsidRPr="00C42D53">
        <w:rPr>
          <w:rFonts w:ascii="Trebuchet MS" w:hAnsi="Trebuchet MS"/>
          <w:color w:val="auto"/>
          <w:szCs w:val="24"/>
        </w:rPr>
        <w:t>Reduce the cycle of disability for injured workers in Washington State through the development and implementation of innovative and effective retu</w:t>
      </w:r>
      <w:r>
        <w:rPr>
          <w:rFonts w:ascii="Trebuchet MS" w:hAnsi="Trebuchet MS"/>
          <w:color w:val="auto"/>
          <w:szCs w:val="24"/>
        </w:rPr>
        <w:t>rn to work programs</w:t>
      </w:r>
    </w:p>
    <w:p w:rsidR="0006780B" w:rsidRPr="00C42D53" w:rsidRDefault="0006780B" w:rsidP="0006780B">
      <w:pPr>
        <w:pStyle w:val="PlainText"/>
        <w:rPr>
          <w:rFonts w:ascii="Trebuchet MS" w:hAnsi="Trebuchet MS"/>
          <w:color w:val="auto"/>
          <w:szCs w:val="24"/>
        </w:rPr>
      </w:pPr>
    </w:p>
    <w:p w:rsidR="0006780B" w:rsidRDefault="0006780B" w:rsidP="0006780B">
      <w:pPr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The materials and products developed through completed grant projects are </w:t>
      </w:r>
      <w:r w:rsidRPr="00C42D53">
        <w:rPr>
          <w:rFonts w:ascii="Trebuchet MS" w:hAnsi="Trebuchet MS"/>
          <w:color w:val="000000"/>
          <w:sz w:val="24"/>
          <w:szCs w:val="24"/>
        </w:rPr>
        <w:t>available through the SHIP Program and on the L&amp;I/DOSH web site.</w:t>
      </w:r>
    </w:p>
    <w:p w:rsidR="00134480" w:rsidRDefault="00134480"/>
    <w:p w:rsidR="0006780B" w:rsidRDefault="001E6F43" w:rsidP="0006780B">
      <w:pPr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**********************************************************************************************************</w:t>
      </w:r>
    </w:p>
    <w:p w:rsidR="0006780B" w:rsidRPr="001E6F43" w:rsidRDefault="0006780B" w:rsidP="0006780B">
      <w:pPr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</w:p>
    <w:p w:rsidR="001E6F43" w:rsidRPr="001E6F43" w:rsidRDefault="0006780B" w:rsidP="0006780B">
      <w:pPr>
        <w:spacing w:after="0" w:line="240" w:lineRule="auto"/>
        <w:rPr>
          <w:rFonts w:ascii="Trebuchet MS" w:hAnsi="Trebuchet MS" w:cs="Calibri Light"/>
          <w:sz w:val="24"/>
          <w:szCs w:val="24"/>
        </w:rPr>
      </w:pPr>
      <w:r w:rsidRPr="001E6F43">
        <w:rPr>
          <w:rFonts w:ascii="Trebuchet MS" w:hAnsi="Trebuchet MS"/>
          <w:color w:val="000000"/>
          <w:sz w:val="24"/>
          <w:szCs w:val="24"/>
        </w:rPr>
        <w:t xml:space="preserve">All RTW project proposals should </w:t>
      </w:r>
      <w:r w:rsidR="001E6F43">
        <w:rPr>
          <w:rFonts w:ascii="Trebuchet MS" w:hAnsi="Trebuchet MS" w:cs="Calibri Light"/>
          <w:sz w:val="24"/>
          <w:szCs w:val="24"/>
        </w:rPr>
        <w:t>promote</w:t>
      </w:r>
      <w:r w:rsidR="001E6F43" w:rsidRPr="001E6F43">
        <w:rPr>
          <w:rFonts w:ascii="Trebuchet MS" w:hAnsi="Trebuchet MS" w:cs="Calibri Light"/>
          <w:sz w:val="24"/>
          <w:szCs w:val="24"/>
        </w:rPr>
        <w:t xml:space="preserve"> early return-to-work programs and/or reduce long-term disability through the cooperation of employers and employees or their representatives.</w:t>
      </w:r>
    </w:p>
    <w:p w:rsidR="0006780B" w:rsidRPr="00C42D53" w:rsidRDefault="0006780B" w:rsidP="0006780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C42D53">
        <w:rPr>
          <w:rFonts w:ascii="Trebuchet MS" w:eastAsia="Times New Roman" w:hAnsi="Trebuchet MS" w:cs="Times New Roman"/>
          <w:sz w:val="24"/>
          <w:szCs w:val="24"/>
        </w:rPr>
        <w:br/>
      </w: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>The following criteria will apply to all SHIP grant applications.</w:t>
      </w:r>
    </w:p>
    <w:p w:rsidR="0006780B" w:rsidRPr="001E6F43" w:rsidRDefault="001E6F43" w:rsidP="001E6F43">
      <w:pPr>
        <w:pStyle w:val="ListParagraph"/>
        <w:numPr>
          <w:ilvl w:val="0"/>
          <w:numId w:val="3"/>
        </w:numPr>
        <w:rPr>
          <w:rFonts w:ascii="Trebuchet MS" w:hAnsi="Trebuchet MS"/>
          <w:color w:val="000000"/>
        </w:rPr>
      </w:pPr>
      <w:r w:rsidRPr="001E6F43">
        <w:rPr>
          <w:rFonts w:ascii="Trebuchet MS" w:hAnsi="Trebuchet MS"/>
          <w:color w:val="000000"/>
        </w:rPr>
        <w:t>There is no per proposal monetary cap for Return-to-Work grant proposals.  SHIP will fund projects until the amo</w:t>
      </w:r>
      <w:r>
        <w:rPr>
          <w:rFonts w:ascii="Trebuchet MS" w:hAnsi="Trebuchet MS"/>
          <w:color w:val="000000"/>
        </w:rPr>
        <w:t>unt available has been disbursed</w:t>
      </w:r>
      <w:r w:rsidRPr="001E6F43">
        <w:rPr>
          <w:rFonts w:ascii="Trebuchet MS" w:hAnsi="Trebuchet MS"/>
          <w:color w:val="000000"/>
        </w:rPr>
        <w:t xml:space="preserve">.  </w:t>
      </w:r>
      <w:r>
        <w:rPr>
          <w:rFonts w:ascii="Trebuchet MS" w:hAnsi="Trebuchet MS"/>
          <w:color w:val="000000"/>
        </w:rPr>
        <w:t>Please contact the program for additional information about funding availability amounts.</w:t>
      </w:r>
    </w:p>
    <w:p w:rsidR="0006780B" w:rsidRPr="00C42D53" w:rsidRDefault="004E3DD9" w:rsidP="0006780B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Projects</w:t>
      </w:r>
      <w:r w:rsidR="0006780B"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approved for this cycle should expect to receive grant funds and start work beginning</w:t>
      </w:r>
      <w:r w:rsidR="0006780B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around </w:t>
      </w:r>
      <w:r w:rsidR="001E6F4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8-12 weeks after submission but approval could require more time. </w:t>
      </w:r>
    </w:p>
    <w:p w:rsidR="0006780B" w:rsidRPr="00C42D53" w:rsidRDefault="004E3DD9" w:rsidP="0006780B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D</w:t>
      </w:r>
      <w:r w:rsidR="0006780B"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>uration for projects approved for this cycle should not exceed 24 months.</w:t>
      </w:r>
    </w:p>
    <w:p w:rsidR="0006780B" w:rsidRDefault="0006780B" w:rsidP="0006780B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All p</w:t>
      </w:r>
      <w:r w:rsidRPr="009615C7">
        <w:rPr>
          <w:rFonts w:ascii="Trebuchet MS" w:eastAsia="Times New Roman" w:hAnsi="Trebuchet MS" w:cs="Times New Roman"/>
          <w:color w:val="000000"/>
          <w:sz w:val="24"/>
          <w:szCs w:val="24"/>
        </w:rPr>
        <w:t>roducts and materials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developed with SHIP</w:t>
      </w:r>
      <w:r w:rsidRPr="009615C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4E3DD9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grant funds </w:t>
      </w:r>
      <w:r w:rsidRPr="009615C7">
        <w:rPr>
          <w:rFonts w:ascii="Trebuchet MS" w:eastAsia="Times New Roman" w:hAnsi="Trebuchet MS" w:cs="Times New Roman"/>
          <w:color w:val="000000"/>
          <w:sz w:val="24"/>
          <w:szCs w:val="24"/>
        </w:rPr>
        <w:t>must assure accessibility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:rsidR="0006780B" w:rsidRPr="009615C7" w:rsidRDefault="0006780B" w:rsidP="0006780B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AF48D8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Washington State Office of Chief Information Officer (OCIO) Policy 1.88 requires that all state agencies (including L&amp;I) ensure that people with disabilities have access to information and provide access to the same services and content that is available to persons without disabilities. This policy requires </w:t>
      </w:r>
      <w:r w:rsidRPr="00AF48D8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L&amp;I to ensure electronic content published on our website, including any products produced with SHIP Grant funds, meets Web Content Accessibility Guidelines (WCAG) 2.1 A and AA Specifications. See “</w:t>
      </w:r>
      <w:hyperlink r:id="rId5" w:history="1">
        <w:r w:rsidRPr="00757FE9">
          <w:rPr>
            <w:rStyle w:val="Hyperlink"/>
            <w:rFonts w:ascii="Trebuchet MS" w:eastAsia="Times New Roman" w:hAnsi="Trebuchet MS" w:cs="Times New Roman"/>
            <w:sz w:val="24"/>
            <w:szCs w:val="24"/>
          </w:rPr>
          <w:t>Introduction to Accessibility</w:t>
        </w:r>
      </w:hyperlink>
      <w:r w:rsidRPr="00AF48D8">
        <w:rPr>
          <w:rFonts w:ascii="Trebuchet MS" w:eastAsia="Times New Roman" w:hAnsi="Trebuchet MS" w:cs="Times New Roman"/>
          <w:color w:val="000000"/>
          <w:sz w:val="24"/>
          <w:szCs w:val="24"/>
        </w:rPr>
        <w:t>”</w:t>
      </w:r>
    </w:p>
    <w:p w:rsidR="0006780B" w:rsidRPr="00303FCA" w:rsidRDefault="0006780B" w:rsidP="0006780B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303FCA">
        <w:rPr>
          <w:rFonts w:ascii="Trebuchet MS" w:eastAsia="Times New Roman" w:hAnsi="Trebuchet MS" w:cs="Times New Roman"/>
          <w:color w:val="000000"/>
          <w:sz w:val="24"/>
          <w:szCs w:val="24"/>
        </w:rPr>
        <w:t>Enhancement of products developed towards an electronic platform delivery is preferred, if appropriate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,</w:t>
      </w:r>
      <w:r w:rsidRPr="00303FCA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for the audience. </w:t>
      </w:r>
    </w:p>
    <w:p w:rsidR="0006780B" w:rsidRPr="00C42D53" w:rsidRDefault="001E6F43" w:rsidP="0006780B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Organizations who are eligible to apply for SHIP grants </w:t>
      </w:r>
      <w:r w:rsidR="0006780B"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>in WAC 296-900-175.</w:t>
      </w:r>
    </w:p>
    <w:p w:rsidR="0006780B" w:rsidRDefault="0006780B"/>
    <w:p w:rsidR="0006780B" w:rsidRPr="001E6F43" w:rsidRDefault="001E6F43">
      <w:pPr>
        <w:rPr>
          <w:rFonts w:ascii="Trebuchet MS" w:hAnsi="Trebuchet MS"/>
          <w:b/>
          <w:sz w:val="24"/>
          <w:szCs w:val="24"/>
        </w:rPr>
      </w:pPr>
      <w:r w:rsidRPr="001E6F43">
        <w:rPr>
          <w:rFonts w:ascii="Trebuchet MS" w:hAnsi="Trebuchet MS"/>
          <w:b/>
          <w:sz w:val="24"/>
          <w:szCs w:val="24"/>
        </w:rPr>
        <w:t>RTW Grant Projects should fit into the following criteria:</w:t>
      </w:r>
    </w:p>
    <w:p w:rsidR="0006780B" w:rsidRPr="001E6F43" w:rsidRDefault="0006780B" w:rsidP="0006780B">
      <w:pPr>
        <w:pStyle w:val="ListParagraph"/>
        <w:numPr>
          <w:ilvl w:val="0"/>
          <w:numId w:val="2"/>
        </w:numPr>
        <w:rPr>
          <w:rFonts w:ascii="Trebuchet MS" w:eastAsia="Calibri" w:hAnsi="Trebuchet MS"/>
        </w:rPr>
      </w:pPr>
      <w:r w:rsidRPr="001E6F43">
        <w:rPr>
          <w:rFonts w:ascii="Trebuchet MS" w:eastAsia="Calibri" w:hAnsi="Trebuchet MS"/>
        </w:rPr>
        <w:t>Is your project designed to develop and implement innovative and effective return to work programs or strategies in your and similar workplaces?</w:t>
      </w:r>
    </w:p>
    <w:p w:rsidR="0006780B" w:rsidRPr="001E6F43" w:rsidRDefault="0006780B" w:rsidP="0006780B">
      <w:pPr>
        <w:spacing w:after="0" w:line="240" w:lineRule="auto"/>
        <w:rPr>
          <w:rFonts w:ascii="Trebuchet MS" w:eastAsia="Calibri" w:hAnsi="Trebuchet MS" w:cs="Times New Roman"/>
          <w:sz w:val="24"/>
        </w:rPr>
      </w:pPr>
    </w:p>
    <w:p w:rsidR="0006780B" w:rsidRPr="001E6F43" w:rsidRDefault="0006780B" w:rsidP="001E6F43">
      <w:pPr>
        <w:spacing w:after="0" w:line="240" w:lineRule="auto"/>
        <w:jc w:val="center"/>
        <w:rPr>
          <w:rFonts w:ascii="Trebuchet MS" w:eastAsia="Calibri" w:hAnsi="Trebuchet MS" w:cs="Times New Roman"/>
          <w:b/>
          <w:sz w:val="24"/>
        </w:rPr>
      </w:pPr>
      <w:r w:rsidRPr="001E6F43">
        <w:rPr>
          <w:rFonts w:ascii="Trebuchet MS" w:eastAsia="Calibri" w:hAnsi="Trebuchet MS" w:cs="Times New Roman"/>
          <w:b/>
          <w:sz w:val="24"/>
        </w:rPr>
        <w:t>OR</w:t>
      </w:r>
    </w:p>
    <w:p w:rsidR="0006780B" w:rsidRPr="001E6F43" w:rsidRDefault="0006780B" w:rsidP="0006780B">
      <w:pPr>
        <w:spacing w:after="0" w:line="240" w:lineRule="auto"/>
        <w:rPr>
          <w:rFonts w:ascii="Trebuchet MS" w:eastAsia="Calibri" w:hAnsi="Trebuchet MS" w:cs="Times New Roman"/>
          <w:sz w:val="24"/>
        </w:rPr>
      </w:pPr>
    </w:p>
    <w:p w:rsidR="0006780B" w:rsidRPr="001E6F43" w:rsidRDefault="0006780B" w:rsidP="0006780B">
      <w:pPr>
        <w:spacing w:after="0" w:line="240" w:lineRule="auto"/>
        <w:ind w:left="720"/>
        <w:rPr>
          <w:rFonts w:ascii="Trebuchet MS" w:eastAsia="Calibri" w:hAnsi="Trebuchet MS" w:cs="Times New Roman"/>
          <w:sz w:val="24"/>
        </w:rPr>
      </w:pPr>
      <w:r w:rsidRPr="001E6F43">
        <w:rPr>
          <w:rFonts w:ascii="Trebuchet MS" w:eastAsia="Calibri" w:hAnsi="Trebuchet MS" w:cs="Times New Roman"/>
          <w:sz w:val="24"/>
        </w:rPr>
        <w:t>Does your project seek to reduce long-term disability for injured workers through the development of tools</w:t>
      </w:r>
      <w:r w:rsidR="004E3DD9">
        <w:rPr>
          <w:rFonts w:ascii="Trebuchet MS" w:eastAsia="Calibri" w:hAnsi="Trebuchet MS" w:cs="Times New Roman"/>
          <w:sz w:val="24"/>
        </w:rPr>
        <w:t>,</w:t>
      </w:r>
      <w:r w:rsidRPr="001E6F43">
        <w:rPr>
          <w:rFonts w:ascii="Trebuchet MS" w:eastAsia="Calibri" w:hAnsi="Trebuchet MS" w:cs="Times New Roman"/>
          <w:sz w:val="24"/>
        </w:rPr>
        <w:t xml:space="preserve"> resources</w:t>
      </w:r>
      <w:r w:rsidR="004E3DD9">
        <w:rPr>
          <w:rFonts w:ascii="Trebuchet MS" w:eastAsia="Calibri" w:hAnsi="Trebuchet MS" w:cs="Times New Roman"/>
          <w:sz w:val="24"/>
        </w:rPr>
        <w:t>,</w:t>
      </w:r>
      <w:r w:rsidRPr="001E6F43">
        <w:rPr>
          <w:rFonts w:ascii="Trebuchet MS" w:eastAsia="Calibri" w:hAnsi="Trebuchet MS" w:cs="Times New Roman"/>
          <w:sz w:val="24"/>
        </w:rPr>
        <w:t xml:space="preserve"> or programs?</w:t>
      </w:r>
    </w:p>
    <w:p w:rsidR="0006780B" w:rsidRPr="001E6F43" w:rsidRDefault="0006780B" w:rsidP="0006780B">
      <w:pPr>
        <w:spacing w:after="0" w:line="240" w:lineRule="auto"/>
        <w:rPr>
          <w:rFonts w:ascii="Trebuchet MS" w:eastAsia="Calibri" w:hAnsi="Trebuchet MS" w:cs="Times New Roman"/>
          <w:sz w:val="24"/>
        </w:rPr>
      </w:pPr>
    </w:p>
    <w:p w:rsidR="0006780B" w:rsidRPr="001E6F43" w:rsidRDefault="0006780B" w:rsidP="001E6F43">
      <w:pPr>
        <w:spacing w:after="0" w:line="240" w:lineRule="auto"/>
        <w:jc w:val="center"/>
        <w:rPr>
          <w:rFonts w:ascii="Trebuchet MS" w:eastAsia="Calibri" w:hAnsi="Trebuchet MS" w:cs="Times New Roman"/>
          <w:b/>
          <w:sz w:val="24"/>
        </w:rPr>
      </w:pPr>
      <w:r w:rsidRPr="001E6F43">
        <w:rPr>
          <w:rFonts w:ascii="Trebuchet MS" w:eastAsia="Calibri" w:hAnsi="Trebuchet MS" w:cs="Times New Roman"/>
          <w:b/>
          <w:sz w:val="24"/>
        </w:rPr>
        <w:t>AND</w:t>
      </w:r>
    </w:p>
    <w:p w:rsidR="0006780B" w:rsidRPr="001E6F43" w:rsidRDefault="0006780B" w:rsidP="0006780B">
      <w:pPr>
        <w:spacing w:after="0" w:line="240" w:lineRule="auto"/>
        <w:rPr>
          <w:rFonts w:ascii="Trebuchet MS" w:eastAsia="Calibri" w:hAnsi="Trebuchet MS" w:cs="Times New Roman"/>
          <w:sz w:val="24"/>
        </w:rPr>
      </w:pPr>
    </w:p>
    <w:p w:rsidR="0006780B" w:rsidRPr="001E6F43" w:rsidRDefault="0006780B" w:rsidP="0006780B">
      <w:pPr>
        <w:pStyle w:val="ListParagraph"/>
        <w:numPr>
          <w:ilvl w:val="0"/>
          <w:numId w:val="2"/>
        </w:numPr>
        <w:rPr>
          <w:rFonts w:ascii="Trebuchet MS" w:eastAsia="Calibri" w:hAnsi="Trebuchet MS"/>
        </w:rPr>
      </w:pPr>
      <w:r w:rsidRPr="001E6F43">
        <w:rPr>
          <w:rFonts w:ascii="Trebuchet MS" w:eastAsia="Calibri" w:hAnsi="Trebuchet MS"/>
        </w:rPr>
        <w:t>Does your project seek to address injured workers in one or more of the following groups?</w:t>
      </w:r>
    </w:p>
    <w:p w:rsidR="0006780B" w:rsidRPr="001E6F43" w:rsidRDefault="0006780B" w:rsidP="0006780B">
      <w:pPr>
        <w:spacing w:after="0" w:line="240" w:lineRule="auto"/>
        <w:rPr>
          <w:rFonts w:ascii="Trebuchet MS" w:eastAsia="Calibri" w:hAnsi="Trebuchet MS" w:cs="Times New Roman"/>
          <w:sz w:val="24"/>
        </w:rPr>
      </w:pPr>
    </w:p>
    <w:p w:rsidR="0006780B" w:rsidRPr="001E6F43" w:rsidRDefault="0006780B" w:rsidP="0006780B">
      <w:pPr>
        <w:pStyle w:val="ListParagraph"/>
        <w:numPr>
          <w:ilvl w:val="0"/>
          <w:numId w:val="1"/>
        </w:numPr>
        <w:spacing w:after="160" w:line="252" w:lineRule="auto"/>
        <w:ind w:left="1080"/>
        <w:rPr>
          <w:rFonts w:ascii="Trebuchet MS" w:hAnsi="Trebuchet MS" w:cs="Calibri Light"/>
        </w:rPr>
      </w:pPr>
      <w:r w:rsidRPr="001E6F43">
        <w:rPr>
          <w:rFonts w:ascii="Trebuchet MS" w:hAnsi="Trebuchet MS" w:cs="Calibri Light"/>
          <w:bCs/>
        </w:rPr>
        <w:t>Short term compensable claim: After a short stint of being off work</w:t>
      </w:r>
      <w:r w:rsidRPr="001E6F43">
        <w:rPr>
          <w:rFonts w:ascii="Trebuchet MS" w:hAnsi="Trebuchet MS" w:cs="Calibri Light"/>
        </w:rPr>
        <w:t>, the worker is able to return to work, typically with the job of injury through the employer of injury.</w:t>
      </w:r>
      <w:r w:rsidRPr="001E6F43">
        <w:rPr>
          <w:rFonts w:ascii="Trebuchet MS" w:hAnsi="Trebuchet MS" w:cs="Calibri Light"/>
          <w:color w:val="1F497D"/>
        </w:rPr>
        <w:t xml:space="preserve"> </w:t>
      </w:r>
    </w:p>
    <w:p w:rsidR="0006780B" w:rsidRPr="001E6F43" w:rsidRDefault="0006780B" w:rsidP="0006780B">
      <w:pPr>
        <w:pStyle w:val="ListParagraph"/>
        <w:numPr>
          <w:ilvl w:val="0"/>
          <w:numId w:val="1"/>
        </w:numPr>
        <w:spacing w:after="160" w:line="252" w:lineRule="auto"/>
        <w:ind w:left="1080"/>
        <w:rPr>
          <w:rFonts w:ascii="Trebuchet MS" w:hAnsi="Trebuchet MS" w:cs="Calibri Light"/>
        </w:rPr>
      </w:pPr>
      <w:r w:rsidRPr="001E6F43">
        <w:rPr>
          <w:rFonts w:ascii="Trebuchet MS" w:hAnsi="Trebuchet MS" w:cs="Calibri Light"/>
          <w:bCs/>
        </w:rPr>
        <w:t>Long-term compensable: T</w:t>
      </w:r>
      <w:r w:rsidRPr="001E6F43">
        <w:rPr>
          <w:rFonts w:ascii="Trebuchet MS" w:hAnsi="Trebuchet MS" w:cs="Calibri Light"/>
        </w:rPr>
        <w:t>he worker is not able to return to the job of injury. While they may be eligible for retraining, they are at high risk for long-term disability.</w:t>
      </w:r>
    </w:p>
    <w:p w:rsidR="0006780B" w:rsidRPr="001E6F43" w:rsidRDefault="0006780B" w:rsidP="0006780B">
      <w:pPr>
        <w:pStyle w:val="ListParagraph"/>
        <w:numPr>
          <w:ilvl w:val="0"/>
          <w:numId w:val="1"/>
        </w:numPr>
        <w:ind w:left="1080"/>
        <w:rPr>
          <w:rFonts w:ascii="Trebuchet MS" w:hAnsi="Trebuchet MS" w:cs="Calibri Light"/>
        </w:rPr>
      </w:pPr>
      <w:r w:rsidRPr="001E6F43">
        <w:rPr>
          <w:rFonts w:ascii="Trebuchet MS" w:hAnsi="Trebuchet MS" w:cs="Calibri Light"/>
          <w:bCs/>
        </w:rPr>
        <w:t>Medical only claim: Either less than three days or</w:t>
      </w:r>
      <w:r w:rsidRPr="001E6F43">
        <w:rPr>
          <w:rFonts w:ascii="Trebuchet MS" w:hAnsi="Trebuchet MS" w:cs="Calibri Light"/>
        </w:rPr>
        <w:t xml:space="preserve"> no time missed from work. </w:t>
      </w:r>
    </w:p>
    <w:p w:rsidR="0006780B" w:rsidRPr="001E6F43" w:rsidRDefault="0006780B" w:rsidP="0006780B">
      <w:pPr>
        <w:pStyle w:val="ListParagraph"/>
        <w:ind w:left="1080"/>
        <w:rPr>
          <w:rFonts w:ascii="Trebuchet MS" w:eastAsia="Calibri" w:hAnsi="Trebuchet MS"/>
        </w:rPr>
      </w:pPr>
    </w:p>
    <w:p w:rsidR="0006780B" w:rsidRPr="001E6F43" w:rsidRDefault="0006780B" w:rsidP="0006780B">
      <w:pPr>
        <w:spacing w:after="0" w:line="240" w:lineRule="auto"/>
        <w:rPr>
          <w:rFonts w:ascii="Trebuchet MS" w:eastAsia="Calibri" w:hAnsi="Trebuchet MS" w:cstheme="majorHAnsi"/>
          <w:sz w:val="24"/>
        </w:rPr>
      </w:pPr>
      <w:r w:rsidRPr="001E6F43">
        <w:rPr>
          <w:rFonts w:ascii="Trebuchet MS" w:eastAsia="Calibri" w:hAnsi="Trebuchet MS" w:cstheme="majorHAnsi"/>
          <w:sz w:val="24"/>
        </w:rPr>
        <w:t>Projects that include programs or processes intended to assist returning an injured worker back to work at any point along a claim until pension will be considered.  These programs include but may not be limited to:</w:t>
      </w:r>
    </w:p>
    <w:p w:rsidR="0006780B" w:rsidRPr="001E6F43" w:rsidRDefault="0006780B" w:rsidP="0006780B">
      <w:pPr>
        <w:pStyle w:val="ListParagraph"/>
        <w:numPr>
          <w:ilvl w:val="0"/>
          <w:numId w:val="1"/>
        </w:numPr>
        <w:rPr>
          <w:rFonts w:ascii="Trebuchet MS" w:eastAsia="Calibri" w:hAnsi="Trebuchet MS" w:cstheme="majorHAnsi"/>
        </w:rPr>
      </w:pPr>
      <w:r w:rsidRPr="001E6F43">
        <w:rPr>
          <w:rFonts w:ascii="Trebuchet MS" w:eastAsia="Calibri" w:hAnsi="Trebuchet MS" w:cstheme="majorHAnsi"/>
        </w:rPr>
        <w:t>Promoting modified duty or graduated return to work</w:t>
      </w:r>
    </w:p>
    <w:p w:rsidR="0006780B" w:rsidRPr="001E6F43" w:rsidRDefault="0006780B" w:rsidP="0006780B">
      <w:pPr>
        <w:pStyle w:val="ListParagraph"/>
        <w:numPr>
          <w:ilvl w:val="0"/>
          <w:numId w:val="1"/>
        </w:numPr>
        <w:rPr>
          <w:rFonts w:ascii="Trebuchet MS" w:eastAsia="Calibri" w:hAnsi="Trebuchet MS" w:cstheme="majorHAnsi"/>
        </w:rPr>
      </w:pPr>
      <w:r w:rsidRPr="001E6F43">
        <w:rPr>
          <w:rFonts w:ascii="Trebuchet MS" w:eastAsia="Calibri" w:hAnsi="Trebuchet MS" w:cstheme="majorHAnsi"/>
        </w:rPr>
        <w:t>Assisting in taking advantage of incentive programs like Stay at Work, Job Modification, or Preferred Worker</w:t>
      </w:r>
    </w:p>
    <w:p w:rsidR="0006780B" w:rsidRPr="001E6F43" w:rsidRDefault="0006780B" w:rsidP="0006780B">
      <w:pPr>
        <w:pStyle w:val="ListParagraph"/>
        <w:numPr>
          <w:ilvl w:val="0"/>
          <w:numId w:val="1"/>
        </w:numPr>
        <w:rPr>
          <w:rFonts w:ascii="Trebuchet MS" w:eastAsia="Calibri" w:hAnsi="Trebuchet MS" w:cstheme="majorHAnsi"/>
        </w:rPr>
      </w:pPr>
      <w:r w:rsidRPr="001E6F43">
        <w:rPr>
          <w:rFonts w:ascii="Trebuchet MS" w:eastAsia="Calibri" w:hAnsi="Trebuchet MS" w:cstheme="majorHAnsi"/>
        </w:rPr>
        <w:lastRenderedPageBreak/>
        <w:t>Establishing an effective return to work program in the event of an injury</w:t>
      </w:r>
    </w:p>
    <w:p w:rsidR="0006780B" w:rsidRPr="001E6F43" w:rsidRDefault="0006780B" w:rsidP="0006780B">
      <w:pPr>
        <w:pStyle w:val="ListParagraph"/>
        <w:numPr>
          <w:ilvl w:val="0"/>
          <w:numId w:val="1"/>
        </w:numPr>
        <w:rPr>
          <w:rFonts w:ascii="Trebuchet MS" w:eastAsia="Calibri" w:hAnsi="Trebuchet MS" w:cstheme="majorHAnsi"/>
        </w:rPr>
      </w:pPr>
      <w:r w:rsidRPr="001E6F43">
        <w:rPr>
          <w:rFonts w:ascii="Trebuchet MS" w:eastAsia="Calibri" w:hAnsi="Trebuchet MS" w:cstheme="majorHAnsi"/>
        </w:rPr>
        <w:t>Assisting in creating On the Job Training opportunities</w:t>
      </w:r>
    </w:p>
    <w:p w:rsidR="0006780B" w:rsidRDefault="0006780B" w:rsidP="0006780B">
      <w:pPr>
        <w:pStyle w:val="ListParagraph"/>
        <w:numPr>
          <w:ilvl w:val="0"/>
          <w:numId w:val="1"/>
        </w:numPr>
        <w:rPr>
          <w:rFonts w:ascii="Trebuchet MS" w:eastAsia="Calibri" w:hAnsi="Trebuchet MS" w:cstheme="majorHAnsi"/>
        </w:rPr>
      </w:pPr>
      <w:r w:rsidRPr="001E6F43">
        <w:rPr>
          <w:rFonts w:ascii="Trebuchet MS" w:eastAsia="Calibri" w:hAnsi="Trebuchet MS" w:cstheme="majorHAnsi"/>
        </w:rPr>
        <w:t>Creating programs to hire workers who have been retrained</w:t>
      </w:r>
    </w:p>
    <w:p w:rsidR="001E6F43" w:rsidRDefault="001E6F43" w:rsidP="001E6F43">
      <w:pPr>
        <w:rPr>
          <w:rFonts w:ascii="Trebuchet MS" w:eastAsia="Calibri" w:hAnsi="Trebuchet MS" w:cstheme="majorHAnsi"/>
        </w:rPr>
      </w:pPr>
    </w:p>
    <w:p w:rsidR="004E3DD9" w:rsidRPr="005561A6" w:rsidRDefault="004E3DD9" w:rsidP="004E3DD9">
      <w:pPr>
        <w:rPr>
          <w:rFonts w:ascii="Trebuchet MS" w:eastAsia="Calibri" w:hAnsi="Trebuchet MS" w:cstheme="majorHAnsi"/>
        </w:rPr>
      </w:pPr>
      <w:r w:rsidRPr="005561A6">
        <w:rPr>
          <w:rFonts w:ascii="Trebuchet MS" w:eastAsia="Calibri" w:hAnsi="Trebuchet MS" w:cstheme="majorHAnsi"/>
        </w:rPr>
        <w:t xml:space="preserve">The full guidelines for SHIP RTW Grants can be found at </w:t>
      </w:r>
      <w:hyperlink r:id="rId6" w:history="1">
        <w:r w:rsidRPr="005561A6">
          <w:rPr>
            <w:rStyle w:val="Hyperlink"/>
            <w:rFonts w:ascii="Trebuchet MS" w:eastAsia="Calibri" w:hAnsi="Trebuchet MS" w:cstheme="majorHAnsi"/>
          </w:rPr>
          <w:t>SHIP Grant RTW Eligibility Guidelines</w:t>
        </w:r>
      </w:hyperlink>
      <w:r w:rsidRPr="005561A6">
        <w:rPr>
          <w:rFonts w:ascii="Trebuchet MS" w:eastAsia="Calibri" w:hAnsi="Trebuchet MS" w:cstheme="majorHAnsi"/>
        </w:rPr>
        <w:t>.</w:t>
      </w:r>
    </w:p>
    <w:p w:rsidR="001E6F43" w:rsidRPr="005561A6" w:rsidRDefault="001E6F43" w:rsidP="001E6F43">
      <w:pPr>
        <w:pStyle w:val="BodyText"/>
        <w:rPr>
          <w:rFonts w:ascii="Trebuchet MS" w:hAnsi="Trebuchet MS"/>
          <w:color w:val="000000"/>
        </w:rPr>
      </w:pPr>
      <w:r w:rsidRPr="005561A6">
        <w:rPr>
          <w:rFonts w:ascii="Trebuchet MS" w:hAnsi="Trebuchet MS"/>
          <w:color w:val="000000"/>
        </w:rPr>
        <w:t xml:space="preserve">Grant applications can be found here: </w:t>
      </w:r>
      <w:hyperlink r:id="rId7" w:history="1">
        <w:r w:rsidRPr="005561A6">
          <w:rPr>
            <w:rStyle w:val="Hyperlink"/>
            <w:rFonts w:ascii="Trebuchet MS" w:hAnsi="Trebuchet MS"/>
          </w:rPr>
          <w:t>RTW Grant Application</w:t>
        </w:r>
      </w:hyperlink>
      <w:r w:rsidRPr="005561A6">
        <w:rPr>
          <w:rFonts w:ascii="Trebuchet MS" w:hAnsi="Trebuchet MS"/>
        </w:rPr>
        <w:t xml:space="preserve"> </w:t>
      </w:r>
      <w:r w:rsidRPr="005561A6">
        <w:rPr>
          <w:rFonts w:ascii="Trebuchet MS" w:hAnsi="Trebuchet MS"/>
          <w:color w:val="000000"/>
        </w:rPr>
        <w:t>or by calling 360-902-5588</w:t>
      </w:r>
    </w:p>
    <w:p w:rsidR="001E6F43" w:rsidRPr="001E6F43" w:rsidRDefault="001E6F43" w:rsidP="001E6F43">
      <w:pPr>
        <w:rPr>
          <w:rFonts w:ascii="Trebuchet MS" w:eastAsia="Calibri" w:hAnsi="Trebuchet MS" w:cstheme="majorHAnsi"/>
        </w:rPr>
      </w:pPr>
      <w:r>
        <w:rPr>
          <w:rFonts w:ascii="Trebuchet MS" w:eastAsia="Calibri" w:hAnsi="Trebuchet MS" w:cstheme="majorHAnsi"/>
        </w:rPr>
        <w:t xml:space="preserve"> </w:t>
      </w:r>
    </w:p>
    <w:p w:rsidR="0006780B" w:rsidRPr="001E6F43" w:rsidRDefault="0006780B">
      <w:pPr>
        <w:rPr>
          <w:rFonts w:ascii="Trebuchet MS" w:hAnsi="Trebuchet MS"/>
        </w:rPr>
      </w:pPr>
    </w:p>
    <w:sectPr w:rsidR="0006780B" w:rsidRPr="001E6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CE5"/>
    <w:multiLevelType w:val="hybridMultilevel"/>
    <w:tmpl w:val="B8E8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3009"/>
    <w:multiLevelType w:val="multilevel"/>
    <w:tmpl w:val="257C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074FA"/>
    <w:multiLevelType w:val="hybridMultilevel"/>
    <w:tmpl w:val="47A4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862DF"/>
    <w:multiLevelType w:val="hybridMultilevel"/>
    <w:tmpl w:val="6DCA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0B"/>
    <w:rsid w:val="0006780B"/>
    <w:rsid w:val="00134480"/>
    <w:rsid w:val="001E6F43"/>
    <w:rsid w:val="004E3D90"/>
    <w:rsid w:val="004E3DD9"/>
    <w:rsid w:val="005561A6"/>
    <w:rsid w:val="00F4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5F879-6299-41CE-BFA6-293B1652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780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6780B"/>
    <w:pPr>
      <w:spacing w:after="0" w:line="240" w:lineRule="auto"/>
    </w:pPr>
    <w:rPr>
      <w:rFonts w:ascii="Verdana" w:hAnsi="Verdana" w:cs="Consolas"/>
      <w:color w:val="00206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780B"/>
    <w:rPr>
      <w:rFonts w:ascii="Verdana" w:hAnsi="Verdana" w:cs="Consolas"/>
      <w:color w:val="002060"/>
      <w:sz w:val="24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1E6F43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1E6F43"/>
  </w:style>
  <w:style w:type="character" w:styleId="FollowedHyperlink">
    <w:name w:val="FollowedHyperlink"/>
    <w:basedOn w:val="DefaultParagraphFont"/>
    <w:uiPriority w:val="99"/>
    <w:semiHidden/>
    <w:unhideWhenUsed/>
    <w:rsid w:val="004E3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ni.wa.gov/safety-health/_docs/RTWApplication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ni.wa.gov/safety-health/_docs/SHIPGrantsEligibilityGuidelinesRTW.docx" TargetMode="External"/><Relationship Id="rId5" Type="http://schemas.openxmlformats.org/officeDocument/2006/relationships/hyperlink" Target="https://lni.wa.gov/safety-health/grants-committees-partnerships/safety-health-investment-projects-grant-program/_docs/Accessibility101forSHIPGrantee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Jellison, Jenifer (LNI)</dc:creator>
  <cp:keywords/>
  <dc:description/>
  <cp:lastModifiedBy>Sortor, Katherine (LNI)</cp:lastModifiedBy>
  <cp:revision>2</cp:revision>
  <dcterms:created xsi:type="dcterms:W3CDTF">2023-10-18T16:27:00Z</dcterms:created>
  <dcterms:modified xsi:type="dcterms:W3CDTF">2023-10-18T16:27:00Z</dcterms:modified>
</cp:coreProperties>
</file>